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9BCC95">
      <w:pPr>
        <w:jc w:val="center"/>
        <w:rPr>
          <w:rFonts w:hint="eastAsia" w:cs="黑体" w:asciiTheme="majorEastAsia" w:hAnsiTheme="majorEastAsia" w:eastAsiaTheme="majorEastAsia"/>
          <w:b/>
          <w:sz w:val="36"/>
          <w:szCs w:val="36"/>
        </w:rPr>
      </w:pPr>
      <w:r>
        <w:rPr>
          <w:rFonts w:hint="eastAsia" w:cs="黑体" w:asciiTheme="majorEastAsia" w:hAnsiTheme="majorEastAsia" w:eastAsiaTheme="majorEastAsia"/>
          <w:b/>
          <w:sz w:val="36"/>
          <w:szCs w:val="36"/>
        </w:rPr>
        <w:t>南昌大学</w:t>
      </w:r>
      <w:r>
        <w:rPr>
          <w:rFonts w:hint="eastAsia" w:cs="黑体" w:asciiTheme="majorEastAsia" w:hAnsiTheme="majorEastAsia" w:eastAsiaTheme="majorEastAsia"/>
          <w:b/>
          <w:sz w:val="36"/>
          <w:szCs w:val="36"/>
          <w:lang w:val="en-US" w:eastAsia="zh-CN"/>
        </w:rPr>
        <w:t>2026年监控、门禁、道闸维保服务</w:t>
      </w:r>
      <w:r>
        <w:rPr>
          <w:rFonts w:hint="eastAsia" w:cs="黑体" w:asciiTheme="majorEastAsia" w:hAnsiTheme="majorEastAsia" w:eastAsiaTheme="majorEastAsia"/>
          <w:b/>
          <w:sz w:val="36"/>
          <w:szCs w:val="36"/>
        </w:rPr>
        <w:t>采购项目需求征集意见公告</w:t>
      </w:r>
    </w:p>
    <w:p w14:paraId="01801299">
      <w:pPr>
        <w:jc w:val="center"/>
        <w:rPr>
          <w:rFonts w:ascii="仿宋" w:hAnsi="仿宋" w:eastAsia="仿宋" w:cs="黑体"/>
          <w:sz w:val="32"/>
          <w:szCs w:val="32"/>
        </w:rPr>
      </w:pPr>
    </w:p>
    <w:p w14:paraId="6E0D23FB">
      <w:pPr>
        <w:ind w:firstLine="640" w:firstLineChars="200"/>
        <w:rPr>
          <w:rFonts w:ascii="仿宋" w:hAnsi="仿宋" w:eastAsia="仿宋" w:cstheme="majorEastAsia"/>
          <w:sz w:val="32"/>
          <w:szCs w:val="32"/>
        </w:rPr>
      </w:pPr>
      <w:r>
        <w:rPr>
          <w:rFonts w:hint="eastAsia" w:ascii="仿宋" w:hAnsi="仿宋" w:eastAsia="仿宋"/>
          <w:sz w:val="32"/>
          <w:szCs w:val="32"/>
        </w:rPr>
        <w:t>因南昌大学</w:t>
      </w:r>
      <w:r>
        <w:rPr>
          <w:rFonts w:hint="eastAsia" w:ascii="仿宋" w:hAnsi="仿宋" w:eastAsia="仿宋"/>
          <w:sz w:val="32"/>
          <w:szCs w:val="32"/>
          <w:lang w:val="en-US" w:eastAsia="zh-CN"/>
        </w:rPr>
        <w:t>2026年监控、门禁、道闸维保服务</w:t>
      </w:r>
      <w:r>
        <w:rPr>
          <w:rFonts w:hint="eastAsia" w:ascii="仿宋" w:hAnsi="仿宋" w:eastAsia="仿宋"/>
          <w:sz w:val="32"/>
          <w:szCs w:val="32"/>
        </w:rPr>
        <w:t>采购项目的需要，现就该项目采购进行采购需求意见征集，具体如下:</w:t>
      </w:r>
    </w:p>
    <w:p w14:paraId="0E6E6C00">
      <w:pPr>
        <w:ind w:firstLine="643" w:firstLineChars="200"/>
        <w:rPr>
          <w:rFonts w:ascii="仿宋" w:hAnsi="仿宋" w:eastAsia="仿宋"/>
          <w:b/>
          <w:bCs/>
          <w:sz w:val="32"/>
          <w:szCs w:val="32"/>
        </w:rPr>
      </w:pPr>
      <w:r>
        <w:rPr>
          <w:rFonts w:hint="eastAsia" w:ascii="仿宋" w:hAnsi="仿宋" w:eastAsia="仿宋"/>
          <w:b/>
          <w:bCs/>
          <w:sz w:val="32"/>
          <w:szCs w:val="32"/>
        </w:rPr>
        <w:t>一、采购项目名称</w:t>
      </w:r>
    </w:p>
    <w:p w14:paraId="56D4677D">
      <w:pPr>
        <w:ind w:firstLine="640" w:firstLineChars="200"/>
        <w:rPr>
          <w:rFonts w:ascii="仿宋" w:hAnsi="仿宋" w:eastAsia="仿宋"/>
          <w:b/>
          <w:bCs/>
          <w:sz w:val="32"/>
          <w:szCs w:val="32"/>
        </w:rPr>
      </w:pPr>
      <w:r>
        <w:rPr>
          <w:rFonts w:hint="eastAsia" w:ascii="仿宋" w:hAnsi="仿宋" w:eastAsia="仿宋"/>
          <w:sz w:val="32"/>
          <w:szCs w:val="32"/>
        </w:rPr>
        <w:t>南昌大学智慧</w:t>
      </w:r>
      <w:r>
        <w:rPr>
          <w:rFonts w:hint="eastAsia" w:ascii="仿宋" w:hAnsi="仿宋" w:eastAsia="仿宋"/>
          <w:sz w:val="32"/>
          <w:szCs w:val="32"/>
          <w:lang w:val="en-US" w:eastAsia="zh-CN"/>
        </w:rPr>
        <w:t>监控、门禁、道闸维保服务</w:t>
      </w:r>
      <w:r>
        <w:rPr>
          <w:rFonts w:hint="eastAsia" w:ascii="仿宋" w:hAnsi="仿宋" w:eastAsia="仿宋"/>
          <w:sz w:val="32"/>
          <w:szCs w:val="32"/>
        </w:rPr>
        <w:t>采购项目</w:t>
      </w:r>
    </w:p>
    <w:p w14:paraId="310F02C3">
      <w:pPr>
        <w:ind w:firstLine="643" w:firstLineChars="200"/>
        <w:rPr>
          <w:rFonts w:ascii="仿宋" w:hAnsi="仿宋" w:eastAsia="仿宋"/>
          <w:b/>
          <w:bCs/>
          <w:sz w:val="32"/>
          <w:szCs w:val="32"/>
        </w:rPr>
      </w:pPr>
      <w:r>
        <w:rPr>
          <w:rFonts w:hint="eastAsia" w:ascii="仿宋" w:hAnsi="仿宋" w:eastAsia="仿宋"/>
          <w:b/>
          <w:bCs/>
          <w:sz w:val="32"/>
          <w:szCs w:val="32"/>
        </w:rPr>
        <w:t>二、采购需求</w:t>
      </w:r>
    </w:p>
    <w:p w14:paraId="033DF364">
      <w:pPr>
        <w:ind w:firstLine="640" w:firstLineChars="200"/>
        <w:rPr>
          <w:rFonts w:ascii="仿宋" w:hAnsi="仿宋" w:eastAsia="仿宋"/>
          <w:sz w:val="32"/>
          <w:szCs w:val="32"/>
        </w:rPr>
      </w:pPr>
      <w:r>
        <w:rPr>
          <w:rFonts w:hint="eastAsia" w:ascii="仿宋" w:hAnsi="仿宋" w:eastAsia="仿宋"/>
          <w:sz w:val="32"/>
          <w:szCs w:val="32"/>
        </w:rPr>
        <w:t>具体采购需求详见附件1。</w:t>
      </w:r>
      <w:bookmarkStart w:id="9" w:name="_GoBack"/>
      <w:bookmarkEnd w:id="9"/>
    </w:p>
    <w:p w14:paraId="500FACA8">
      <w:pPr>
        <w:ind w:firstLine="643" w:firstLineChars="200"/>
        <w:rPr>
          <w:rFonts w:ascii="仿宋" w:hAnsi="仿宋" w:eastAsia="仿宋"/>
          <w:b/>
          <w:bCs/>
          <w:sz w:val="32"/>
          <w:szCs w:val="32"/>
        </w:rPr>
      </w:pPr>
      <w:r>
        <w:rPr>
          <w:rFonts w:hint="eastAsia" w:ascii="仿宋" w:hAnsi="仿宋" w:eastAsia="仿宋"/>
          <w:b/>
          <w:bCs/>
          <w:sz w:val="32"/>
          <w:szCs w:val="32"/>
        </w:rPr>
        <w:t>三、本公告期限</w:t>
      </w:r>
    </w:p>
    <w:p w14:paraId="6C7D06CD">
      <w:pPr>
        <w:ind w:firstLine="640" w:firstLineChars="200"/>
        <w:rPr>
          <w:rFonts w:ascii="仿宋" w:hAnsi="仿宋" w:eastAsia="仿宋"/>
          <w:sz w:val="32"/>
          <w:szCs w:val="32"/>
        </w:rPr>
      </w:pPr>
      <w:r>
        <w:rPr>
          <w:rFonts w:hint="eastAsia" w:ascii="仿宋" w:hAnsi="仿宋" w:eastAsia="仿宋" w:cs="黑体"/>
          <w:sz w:val="32"/>
          <w:szCs w:val="32"/>
          <w:lang w:val="en-US" w:eastAsia="zh-CN"/>
        </w:rPr>
        <w:t>2025</w:t>
      </w:r>
      <w:r>
        <w:rPr>
          <w:rFonts w:hint="eastAsia" w:ascii="仿宋" w:hAnsi="仿宋" w:eastAsia="仿宋"/>
          <w:sz w:val="32"/>
          <w:szCs w:val="32"/>
        </w:rPr>
        <w:t>年</w:t>
      </w:r>
      <w:r>
        <w:rPr>
          <w:rFonts w:hint="eastAsia" w:ascii="仿宋" w:hAnsi="仿宋" w:eastAsia="仿宋" w:cs="黑体"/>
          <w:sz w:val="32"/>
          <w:szCs w:val="32"/>
          <w:lang w:val="en-US" w:eastAsia="zh-CN"/>
        </w:rPr>
        <w:t>7</w:t>
      </w:r>
      <w:r>
        <w:rPr>
          <w:rFonts w:hint="eastAsia" w:ascii="仿宋" w:hAnsi="仿宋" w:eastAsia="仿宋"/>
          <w:sz w:val="32"/>
          <w:szCs w:val="32"/>
        </w:rPr>
        <w:t>月</w:t>
      </w:r>
      <w:r>
        <w:rPr>
          <w:rFonts w:hint="eastAsia" w:ascii="仿宋" w:hAnsi="仿宋" w:eastAsia="仿宋" w:cs="黑体"/>
          <w:sz w:val="32"/>
          <w:szCs w:val="32"/>
          <w:lang w:val="en-US" w:eastAsia="zh-CN"/>
        </w:rPr>
        <w:t>11</w:t>
      </w:r>
      <w:r>
        <w:rPr>
          <w:rFonts w:hint="eastAsia" w:ascii="仿宋" w:hAnsi="仿宋" w:eastAsia="仿宋"/>
          <w:sz w:val="32"/>
          <w:szCs w:val="32"/>
        </w:rPr>
        <w:t>日至</w:t>
      </w:r>
      <w:r>
        <w:rPr>
          <w:rFonts w:hint="eastAsia" w:ascii="仿宋" w:hAnsi="仿宋" w:eastAsia="仿宋" w:cs="黑体"/>
          <w:sz w:val="32"/>
          <w:szCs w:val="32"/>
          <w:lang w:val="en-US" w:eastAsia="zh-CN"/>
        </w:rPr>
        <w:t>2025</w:t>
      </w:r>
      <w:r>
        <w:rPr>
          <w:rFonts w:hint="eastAsia" w:ascii="仿宋" w:hAnsi="仿宋" w:eastAsia="仿宋"/>
          <w:sz w:val="32"/>
          <w:szCs w:val="32"/>
        </w:rPr>
        <w:t>年</w:t>
      </w:r>
      <w:r>
        <w:rPr>
          <w:rFonts w:hint="eastAsia" w:ascii="仿宋" w:hAnsi="仿宋" w:eastAsia="仿宋" w:cs="黑体"/>
          <w:sz w:val="32"/>
          <w:szCs w:val="32"/>
          <w:lang w:val="en-US" w:eastAsia="zh-CN"/>
        </w:rPr>
        <w:t>7</w:t>
      </w:r>
      <w:r>
        <w:rPr>
          <w:rFonts w:hint="eastAsia" w:ascii="仿宋" w:hAnsi="仿宋" w:eastAsia="仿宋"/>
          <w:sz w:val="32"/>
          <w:szCs w:val="32"/>
        </w:rPr>
        <w:t>月</w:t>
      </w:r>
      <w:r>
        <w:rPr>
          <w:rFonts w:hint="eastAsia" w:ascii="仿宋" w:hAnsi="仿宋" w:eastAsia="仿宋" w:cs="黑体"/>
          <w:sz w:val="32"/>
          <w:szCs w:val="32"/>
          <w:lang w:val="en-US" w:eastAsia="zh-CN"/>
        </w:rPr>
        <w:t>15</w:t>
      </w:r>
      <w:r>
        <w:rPr>
          <w:rFonts w:hint="eastAsia" w:ascii="仿宋" w:hAnsi="仿宋" w:eastAsia="仿宋"/>
          <w:sz w:val="32"/>
          <w:szCs w:val="32"/>
        </w:rPr>
        <w:t>日。</w:t>
      </w:r>
      <w:r>
        <w:rPr>
          <w:rFonts w:hint="eastAsia" w:ascii="仿宋" w:hAnsi="仿宋" w:eastAsia="仿宋"/>
          <w:sz w:val="32"/>
          <w:szCs w:val="32"/>
          <w:highlight w:val="yellow"/>
        </w:rPr>
        <w:t>（5个日历日）</w:t>
      </w:r>
    </w:p>
    <w:p w14:paraId="215D733F">
      <w:pPr>
        <w:ind w:firstLine="643" w:firstLineChars="200"/>
        <w:rPr>
          <w:rFonts w:ascii="仿宋" w:hAnsi="仿宋" w:eastAsia="仿宋"/>
          <w:b/>
          <w:bCs/>
          <w:sz w:val="32"/>
          <w:szCs w:val="32"/>
        </w:rPr>
      </w:pPr>
      <w:r>
        <w:rPr>
          <w:rFonts w:hint="eastAsia" w:ascii="仿宋" w:hAnsi="仿宋" w:eastAsia="仿宋"/>
          <w:b/>
          <w:bCs/>
          <w:sz w:val="32"/>
          <w:szCs w:val="32"/>
        </w:rPr>
        <w:t>四、说明</w:t>
      </w:r>
    </w:p>
    <w:p w14:paraId="195B9D2B">
      <w:pPr>
        <w:ind w:firstLine="640" w:firstLineChars="200"/>
        <w:rPr>
          <w:rFonts w:ascii="仿宋" w:hAnsi="仿宋" w:eastAsia="仿宋"/>
          <w:b/>
          <w:sz w:val="32"/>
          <w:szCs w:val="32"/>
        </w:rPr>
      </w:pPr>
      <w:r>
        <w:rPr>
          <w:rFonts w:hint="eastAsia" w:ascii="仿宋" w:hAnsi="仿宋" w:eastAsia="仿宋"/>
          <w:sz w:val="32"/>
          <w:szCs w:val="32"/>
        </w:rPr>
        <w:t>本次需求意见征集自愿参与，所征集材料仅用于</w:t>
      </w:r>
      <w:r>
        <w:rPr>
          <w:rFonts w:hint="eastAsia" w:ascii="仿宋" w:hAnsi="仿宋" w:eastAsia="仿宋"/>
          <w:sz w:val="32"/>
          <w:szCs w:val="32"/>
          <w:lang w:eastAsia="zh-CN"/>
        </w:rPr>
        <w:t>优化采购需求</w:t>
      </w:r>
      <w:r>
        <w:rPr>
          <w:rFonts w:hint="eastAsia" w:ascii="仿宋" w:hAnsi="仿宋" w:eastAsia="仿宋"/>
          <w:sz w:val="32"/>
          <w:szCs w:val="32"/>
        </w:rPr>
        <w:t>，欢迎各供应商、单位或者个人参加。</w:t>
      </w:r>
      <w:r>
        <w:rPr>
          <w:rFonts w:hint="eastAsia" w:ascii="仿宋" w:hAnsi="仿宋" w:eastAsia="仿宋"/>
          <w:sz w:val="32"/>
          <w:szCs w:val="32"/>
          <w:lang w:eastAsia="zh-CN"/>
        </w:rPr>
        <w:t>征集过程不发生任何费用。</w:t>
      </w:r>
      <w:r>
        <w:rPr>
          <w:rFonts w:hint="eastAsia" w:ascii="仿宋" w:hAnsi="仿宋" w:eastAsia="仿宋"/>
          <w:b/>
          <w:sz w:val="32"/>
          <w:szCs w:val="32"/>
        </w:rPr>
        <w:t>征集意见递交材料格式详见附件</w:t>
      </w:r>
      <w:r>
        <w:rPr>
          <w:rFonts w:hint="eastAsia" w:ascii="仿宋" w:hAnsi="仿宋" w:eastAsia="仿宋"/>
          <w:b/>
          <w:sz w:val="32"/>
          <w:szCs w:val="32"/>
          <w:lang w:val="en-US" w:eastAsia="zh-CN"/>
        </w:rPr>
        <w:t>2</w:t>
      </w:r>
      <w:r>
        <w:rPr>
          <w:rFonts w:hint="eastAsia" w:ascii="仿宋" w:hAnsi="仿宋" w:eastAsia="仿宋"/>
          <w:b/>
          <w:sz w:val="32"/>
          <w:szCs w:val="32"/>
        </w:rPr>
        <w:t>。</w:t>
      </w:r>
    </w:p>
    <w:p w14:paraId="19C4AB74">
      <w:pPr>
        <w:ind w:firstLine="640" w:firstLineChars="200"/>
        <w:rPr>
          <w:rFonts w:ascii="仿宋" w:hAnsi="仿宋" w:eastAsia="仿宋"/>
          <w:sz w:val="32"/>
          <w:szCs w:val="32"/>
        </w:rPr>
      </w:pPr>
      <w:r>
        <w:rPr>
          <w:rFonts w:hint="eastAsia" w:ascii="仿宋" w:hAnsi="仿宋" w:eastAsia="仿宋"/>
          <w:sz w:val="32"/>
          <w:szCs w:val="32"/>
        </w:rPr>
        <w:t>有意参加征集者，可公告期满后2个工作日内将书面意见反馈给我单位。提出的意见建议应当实事求是、详细具体、理由充分，必要时可提供有关证明材料。</w:t>
      </w:r>
    </w:p>
    <w:p w14:paraId="032EED80">
      <w:pPr>
        <w:ind w:firstLine="640" w:firstLineChars="200"/>
        <w:rPr>
          <w:rFonts w:ascii="仿宋" w:hAnsi="仿宋" w:eastAsia="仿宋"/>
          <w:sz w:val="32"/>
          <w:szCs w:val="32"/>
        </w:rPr>
      </w:pPr>
      <w:r>
        <w:rPr>
          <w:rFonts w:hint="eastAsia" w:ascii="仿宋" w:hAnsi="仿宋" w:eastAsia="仿宋"/>
          <w:sz w:val="32"/>
          <w:szCs w:val="32"/>
        </w:rPr>
        <w:t>本次用户需求公示为我校就本项目开展的前期工作，具体采购项目情况以相关采购公告和采购文件为准;我单位是否采纳均不影响供应商参与本项目后续采购活动，对供应商所提出的意见建议不公布不作书面回复。</w:t>
      </w:r>
    </w:p>
    <w:p w14:paraId="4A5150AF">
      <w:pPr>
        <w:ind w:firstLine="643" w:firstLineChars="200"/>
        <w:rPr>
          <w:rFonts w:ascii="仿宋" w:hAnsi="仿宋" w:eastAsia="仿宋"/>
          <w:b/>
          <w:bCs/>
          <w:sz w:val="32"/>
          <w:szCs w:val="32"/>
        </w:rPr>
      </w:pPr>
      <w:r>
        <w:rPr>
          <w:rFonts w:hint="eastAsia" w:ascii="仿宋" w:hAnsi="仿宋" w:eastAsia="仿宋"/>
          <w:b/>
          <w:bCs/>
          <w:sz w:val="32"/>
          <w:szCs w:val="32"/>
        </w:rPr>
        <w:t>五、反馈文件递交</w:t>
      </w:r>
    </w:p>
    <w:p w14:paraId="54F9310B">
      <w:pPr>
        <w:ind w:firstLine="640" w:firstLineChars="200"/>
        <w:rPr>
          <w:rFonts w:ascii="仿宋" w:hAnsi="仿宋" w:eastAsia="仿宋"/>
          <w:sz w:val="32"/>
          <w:szCs w:val="32"/>
        </w:rPr>
      </w:pPr>
      <w:r>
        <w:rPr>
          <w:rFonts w:hint="eastAsia" w:ascii="仿宋" w:hAnsi="仿宋" w:eastAsia="仿宋"/>
          <w:sz w:val="32"/>
          <w:szCs w:val="32"/>
        </w:rPr>
        <w:t>请于</w:t>
      </w:r>
      <w:r>
        <w:rPr>
          <w:rFonts w:hint="eastAsia" w:ascii="仿宋" w:hAnsi="仿宋" w:eastAsia="仿宋"/>
          <w:sz w:val="32"/>
          <w:szCs w:val="32"/>
          <w:lang w:val="en-US" w:eastAsia="zh-CN"/>
        </w:rPr>
        <w:t>2025</w:t>
      </w:r>
      <w:r>
        <w:rPr>
          <w:rFonts w:hint="eastAsia" w:ascii="仿宋" w:hAnsi="仿宋" w:eastAsia="仿宋"/>
          <w:sz w:val="32"/>
          <w:szCs w:val="32"/>
        </w:rPr>
        <w:t>年</w:t>
      </w:r>
      <w:r>
        <w:rPr>
          <w:rFonts w:hint="eastAsia" w:ascii="仿宋" w:hAnsi="仿宋" w:eastAsia="仿宋"/>
          <w:sz w:val="32"/>
          <w:szCs w:val="32"/>
          <w:lang w:val="en-US" w:eastAsia="zh-CN"/>
        </w:rPr>
        <w:t>7</w:t>
      </w:r>
      <w:r>
        <w:rPr>
          <w:rFonts w:hint="eastAsia" w:ascii="仿宋" w:hAnsi="仿宋" w:eastAsia="仿宋"/>
          <w:sz w:val="32"/>
          <w:szCs w:val="32"/>
        </w:rPr>
        <w:t>月</w:t>
      </w:r>
      <w:r>
        <w:rPr>
          <w:rFonts w:hint="eastAsia" w:ascii="仿宋" w:hAnsi="仿宋" w:eastAsia="仿宋" w:cs="黑体"/>
          <w:sz w:val="32"/>
          <w:szCs w:val="32"/>
          <w:lang w:val="en-US" w:eastAsia="zh-CN"/>
        </w:rPr>
        <w:t>17</w:t>
      </w:r>
      <w:r>
        <w:rPr>
          <w:rFonts w:hint="eastAsia" w:ascii="仿宋" w:hAnsi="仿宋" w:eastAsia="仿宋"/>
          <w:sz w:val="32"/>
          <w:szCs w:val="32"/>
        </w:rPr>
        <w:t>日17:00前将反馈的意见（word版一份，盖章的扫描件一份）发送至指定邮箱:</w:t>
      </w:r>
      <w:r>
        <w:rPr>
          <w:rFonts w:hint="eastAsia" w:ascii="仿宋" w:hAnsi="仿宋" w:eastAsia="仿宋" w:cs="黑体"/>
          <w:sz w:val="32"/>
          <w:szCs w:val="32"/>
        </w:rPr>
        <w:t xml:space="preserve"> </w:t>
      </w:r>
      <w:r>
        <w:rPr>
          <w:rFonts w:hint="eastAsia" w:ascii="仿宋" w:hAnsi="仿宋" w:eastAsia="仿宋" w:cs="黑体"/>
          <w:sz w:val="32"/>
          <w:szCs w:val="32"/>
          <w:lang w:val="en-US" w:eastAsia="zh-CN"/>
        </w:rPr>
        <w:t>396892543@qq.com</w:t>
      </w:r>
      <w:r>
        <w:rPr>
          <w:rFonts w:hint="eastAsia" w:ascii="仿宋" w:hAnsi="仿宋" w:eastAsia="仿宋"/>
          <w:sz w:val="32"/>
          <w:szCs w:val="32"/>
        </w:rPr>
        <w:t>，主题请使用“</w:t>
      </w:r>
      <w:r>
        <w:rPr>
          <w:rFonts w:hint="eastAsia" w:ascii="仿宋" w:hAnsi="仿宋" w:eastAsia="仿宋" w:cs="黑体"/>
          <w:sz w:val="32"/>
          <w:szCs w:val="32"/>
        </w:rPr>
        <w:t>××</w:t>
      </w:r>
      <w:r>
        <w:rPr>
          <w:rFonts w:hint="eastAsia" w:ascii="仿宋" w:hAnsi="仿宋" w:eastAsia="仿宋"/>
          <w:sz w:val="32"/>
          <w:szCs w:val="32"/>
        </w:rPr>
        <w:t>公司:南昌大学</w:t>
      </w:r>
      <w:r>
        <w:rPr>
          <w:rFonts w:hint="eastAsia" w:ascii="仿宋" w:hAnsi="仿宋" w:eastAsia="仿宋"/>
          <w:sz w:val="32"/>
          <w:szCs w:val="32"/>
          <w:lang w:val="en-US" w:eastAsia="zh-CN"/>
        </w:rPr>
        <w:t>2026年监控、门禁、道闸维保服务</w:t>
      </w:r>
      <w:r>
        <w:rPr>
          <w:rFonts w:hint="eastAsia" w:ascii="仿宋" w:hAnsi="仿宋" w:eastAsia="仿宋"/>
          <w:sz w:val="32"/>
          <w:szCs w:val="32"/>
        </w:rPr>
        <w:t>采购项目采购需求</w:t>
      </w:r>
      <w:r>
        <w:rPr>
          <w:rFonts w:hint="eastAsia" w:ascii="仿宋" w:hAnsi="仿宋" w:eastAsia="仿宋"/>
          <w:sz w:val="32"/>
          <w:szCs w:val="32"/>
          <w:lang w:eastAsia="zh-CN"/>
        </w:rPr>
        <w:t>征集意见反馈</w:t>
      </w:r>
      <w:r>
        <w:rPr>
          <w:rFonts w:hint="eastAsia" w:ascii="仿宋" w:hAnsi="仿宋" w:eastAsia="仿宋"/>
          <w:sz w:val="32"/>
          <w:szCs w:val="32"/>
        </w:rPr>
        <w:t>材料”。</w:t>
      </w:r>
    </w:p>
    <w:p w14:paraId="186AC926">
      <w:pPr>
        <w:ind w:firstLine="643" w:firstLineChars="200"/>
        <w:rPr>
          <w:rFonts w:ascii="仿宋" w:hAnsi="仿宋" w:eastAsia="仿宋"/>
          <w:b/>
          <w:bCs/>
          <w:sz w:val="32"/>
          <w:szCs w:val="32"/>
        </w:rPr>
      </w:pPr>
      <w:r>
        <w:rPr>
          <w:rFonts w:hint="eastAsia" w:ascii="仿宋" w:hAnsi="仿宋" w:eastAsia="仿宋"/>
          <w:b/>
          <w:bCs/>
          <w:sz w:val="32"/>
          <w:szCs w:val="32"/>
        </w:rPr>
        <w:t>六、联系方式</w:t>
      </w:r>
    </w:p>
    <w:p w14:paraId="366ADBFC">
      <w:pPr>
        <w:ind w:firstLine="640" w:firstLineChars="200"/>
        <w:rPr>
          <w:rFonts w:ascii="仿宋" w:hAnsi="仿宋" w:eastAsia="仿宋"/>
          <w:sz w:val="32"/>
          <w:szCs w:val="32"/>
        </w:rPr>
      </w:pPr>
      <w:r>
        <w:rPr>
          <w:rFonts w:hint="eastAsia" w:ascii="仿宋" w:hAnsi="仿宋" w:eastAsia="仿宋"/>
          <w:sz w:val="32"/>
          <w:szCs w:val="32"/>
        </w:rPr>
        <w:t>如对本项工作有任何疑问，请联系南昌大学招标采购中心，联系人:</w:t>
      </w:r>
      <w:r>
        <w:rPr>
          <w:rFonts w:hint="eastAsia" w:ascii="仿宋" w:hAnsi="仿宋" w:eastAsia="仿宋" w:cs="黑体"/>
          <w:sz w:val="32"/>
          <w:szCs w:val="32"/>
          <w:lang w:val="en-US" w:eastAsia="zh-CN"/>
        </w:rPr>
        <w:t>涂</w:t>
      </w:r>
      <w:r>
        <w:rPr>
          <w:rFonts w:hint="eastAsia" w:ascii="仿宋" w:hAnsi="仿宋" w:eastAsia="仿宋"/>
          <w:sz w:val="32"/>
          <w:szCs w:val="32"/>
        </w:rPr>
        <w:t>老师，联系电话:</w:t>
      </w:r>
      <w:r>
        <w:rPr>
          <w:rFonts w:hint="eastAsia" w:ascii="仿宋" w:hAnsi="仿宋" w:eastAsia="仿宋" w:cs="黑体"/>
          <w:sz w:val="32"/>
          <w:szCs w:val="32"/>
        </w:rPr>
        <w:t xml:space="preserve"> </w:t>
      </w:r>
      <w:r>
        <w:rPr>
          <w:rFonts w:hint="eastAsia" w:ascii="仿宋" w:hAnsi="仿宋" w:eastAsia="仿宋" w:cs="黑体"/>
          <w:sz w:val="32"/>
          <w:szCs w:val="32"/>
          <w:lang w:val="en-US" w:eastAsia="zh-CN"/>
        </w:rPr>
        <w:t>0791-83969364</w:t>
      </w:r>
      <w:r>
        <w:rPr>
          <w:rFonts w:hint="eastAsia" w:ascii="仿宋" w:hAnsi="仿宋" w:eastAsia="仿宋"/>
          <w:sz w:val="32"/>
          <w:szCs w:val="32"/>
        </w:rPr>
        <w:t>。</w:t>
      </w:r>
    </w:p>
    <w:p w14:paraId="4469FC6C">
      <w:pPr>
        <w:rPr>
          <w:rFonts w:hint="eastAsia" w:ascii="仿宋" w:hAnsi="仿宋" w:eastAsia="仿宋"/>
          <w:sz w:val="32"/>
          <w:szCs w:val="32"/>
        </w:rPr>
      </w:pPr>
    </w:p>
    <w:p w14:paraId="0FED408A">
      <w:pPr>
        <w:rPr>
          <w:rFonts w:hint="eastAsia" w:ascii="仿宋" w:hAnsi="仿宋" w:eastAsia="仿宋"/>
          <w:sz w:val="32"/>
          <w:szCs w:val="32"/>
        </w:rPr>
      </w:pPr>
    </w:p>
    <w:p w14:paraId="3962A508">
      <w:pPr>
        <w:rPr>
          <w:rFonts w:hint="eastAsia" w:ascii="仿宋" w:hAnsi="仿宋" w:eastAsia="仿宋"/>
          <w:sz w:val="32"/>
          <w:szCs w:val="32"/>
        </w:rPr>
      </w:pPr>
    </w:p>
    <w:p w14:paraId="5110A0E3">
      <w:pPr>
        <w:rPr>
          <w:rFonts w:hint="eastAsia" w:ascii="仿宋" w:hAnsi="仿宋" w:eastAsia="仿宋"/>
          <w:sz w:val="32"/>
          <w:szCs w:val="32"/>
        </w:rPr>
      </w:pPr>
    </w:p>
    <w:p w14:paraId="3BB7128B">
      <w:pPr>
        <w:pStyle w:val="2"/>
        <w:rPr>
          <w:rFonts w:hint="eastAsia" w:ascii="仿宋" w:hAnsi="仿宋" w:eastAsia="仿宋"/>
          <w:sz w:val="32"/>
          <w:szCs w:val="32"/>
        </w:rPr>
      </w:pPr>
    </w:p>
    <w:p w14:paraId="2370B378">
      <w:pPr>
        <w:rPr>
          <w:rFonts w:hint="eastAsia" w:ascii="仿宋" w:hAnsi="仿宋" w:eastAsia="仿宋"/>
          <w:sz w:val="32"/>
          <w:szCs w:val="32"/>
        </w:rPr>
      </w:pPr>
    </w:p>
    <w:p w14:paraId="6E8D5965">
      <w:pPr>
        <w:pStyle w:val="2"/>
        <w:rPr>
          <w:rFonts w:hint="eastAsia" w:ascii="仿宋" w:hAnsi="仿宋" w:eastAsia="仿宋"/>
          <w:sz w:val="32"/>
          <w:szCs w:val="32"/>
        </w:rPr>
      </w:pPr>
    </w:p>
    <w:p w14:paraId="798FF737">
      <w:pPr>
        <w:rPr>
          <w:rFonts w:hint="eastAsia" w:ascii="仿宋" w:hAnsi="仿宋" w:eastAsia="仿宋"/>
          <w:sz w:val="32"/>
          <w:szCs w:val="32"/>
        </w:rPr>
      </w:pPr>
    </w:p>
    <w:p w14:paraId="5769C4F3">
      <w:pPr>
        <w:pStyle w:val="2"/>
        <w:rPr>
          <w:rFonts w:hint="eastAsia" w:ascii="仿宋" w:hAnsi="仿宋" w:eastAsia="仿宋"/>
          <w:sz w:val="32"/>
          <w:szCs w:val="32"/>
        </w:rPr>
      </w:pPr>
    </w:p>
    <w:p w14:paraId="0A808BD6">
      <w:pPr>
        <w:rPr>
          <w:rFonts w:hint="eastAsia"/>
        </w:rPr>
      </w:pPr>
    </w:p>
    <w:p w14:paraId="307B100A">
      <w:pPr>
        <w:rPr>
          <w:rFonts w:hint="eastAsia" w:ascii="仿宋" w:hAnsi="仿宋" w:eastAsia="仿宋"/>
          <w:sz w:val="32"/>
          <w:szCs w:val="32"/>
        </w:rPr>
      </w:pPr>
    </w:p>
    <w:p w14:paraId="681A46DF">
      <w:pPr>
        <w:rPr>
          <w:rFonts w:hint="eastAsia" w:ascii="仿宋" w:hAnsi="仿宋" w:eastAsia="仿宋"/>
          <w:sz w:val="32"/>
          <w:szCs w:val="32"/>
        </w:rPr>
      </w:pPr>
      <w:r>
        <w:rPr>
          <w:rFonts w:hint="eastAsia" w:ascii="仿宋" w:hAnsi="仿宋" w:eastAsia="仿宋"/>
          <w:sz w:val="32"/>
          <w:szCs w:val="32"/>
        </w:rPr>
        <w:t>附件1：</w:t>
      </w:r>
    </w:p>
    <w:p w14:paraId="1A632524">
      <w:pPr>
        <w:jc w:val="center"/>
        <w:rPr>
          <w:rFonts w:hint="eastAsia" w:asciiTheme="majorEastAsia" w:hAnsiTheme="majorEastAsia" w:eastAsiaTheme="majorEastAsia"/>
          <w:b/>
          <w:sz w:val="36"/>
          <w:szCs w:val="36"/>
        </w:rPr>
      </w:pPr>
      <w:r>
        <w:rPr>
          <w:rFonts w:hint="eastAsia" w:asciiTheme="majorEastAsia" w:hAnsiTheme="majorEastAsia" w:eastAsiaTheme="majorEastAsia"/>
          <w:b/>
          <w:sz w:val="36"/>
          <w:szCs w:val="36"/>
        </w:rPr>
        <w:t>南昌大学</w:t>
      </w:r>
      <w:r>
        <w:rPr>
          <w:rFonts w:hint="eastAsia" w:asciiTheme="majorEastAsia" w:hAnsiTheme="majorEastAsia" w:eastAsiaTheme="majorEastAsia"/>
          <w:b/>
          <w:sz w:val="36"/>
          <w:szCs w:val="36"/>
          <w:lang w:val="en-US" w:eastAsia="zh-CN"/>
        </w:rPr>
        <w:t>2026年监控、门禁、道闸</w:t>
      </w:r>
      <w:r>
        <w:rPr>
          <w:rFonts w:hint="eastAsia" w:asciiTheme="majorEastAsia" w:hAnsiTheme="majorEastAsia" w:eastAsiaTheme="majorEastAsia"/>
          <w:b/>
          <w:sz w:val="36"/>
          <w:szCs w:val="36"/>
        </w:rPr>
        <w:t>采购项目需求书</w:t>
      </w:r>
    </w:p>
    <w:p w14:paraId="6DFE1F16">
      <w:pPr>
        <w:jc w:val="center"/>
        <w:rPr>
          <w:rFonts w:ascii="黑体" w:hAnsi="黑体" w:eastAsia="黑体"/>
          <w:b/>
          <w:sz w:val="24"/>
          <w:szCs w:val="24"/>
        </w:rPr>
      </w:pPr>
      <w:r>
        <w:rPr>
          <w:rFonts w:hint="eastAsia" w:asciiTheme="majorEastAsia" w:hAnsiTheme="majorEastAsia" w:eastAsiaTheme="majorEastAsia"/>
          <w:b/>
          <w:sz w:val="36"/>
          <w:szCs w:val="36"/>
        </w:rPr>
        <w:t>（征集意见稿）</w:t>
      </w:r>
    </w:p>
    <w:p w14:paraId="4A55D4F5">
      <w:pPr>
        <w:spacing w:line="560" w:lineRule="exact"/>
        <w:jc w:val="left"/>
        <w:rPr>
          <w:rFonts w:hint="eastAsia" w:ascii="黑体" w:hAnsi="黑体" w:eastAsia="黑体"/>
          <w:b/>
          <w:sz w:val="24"/>
          <w:szCs w:val="24"/>
        </w:rPr>
      </w:pPr>
      <w:r>
        <w:rPr>
          <w:rFonts w:ascii="黑体" w:hAnsi="黑体" w:eastAsia="黑体"/>
          <w:b/>
          <w:sz w:val="24"/>
          <w:szCs w:val="24"/>
        </w:rPr>
        <w:t>一</w:t>
      </w:r>
      <w:r>
        <w:rPr>
          <w:rFonts w:hint="eastAsia" w:ascii="黑体" w:hAnsi="黑体" w:eastAsia="黑体"/>
          <w:b/>
          <w:sz w:val="24"/>
          <w:szCs w:val="24"/>
        </w:rPr>
        <w:t>、项目概况</w:t>
      </w:r>
    </w:p>
    <w:tbl>
      <w:tblPr>
        <w:tblStyle w:val="13"/>
        <w:tblW w:w="89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7110"/>
      </w:tblGrid>
      <w:tr w14:paraId="13509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03" w:type="dxa"/>
            <w:noWrap w:val="0"/>
            <w:vAlign w:val="center"/>
          </w:tcPr>
          <w:p w14:paraId="0426ED9E">
            <w:pPr>
              <w:spacing w:line="560" w:lineRule="exact"/>
              <w:jc w:val="center"/>
              <w:rPr>
                <w:rFonts w:hint="eastAsia" w:ascii="宋体" w:hAnsi="宋体"/>
                <w:b/>
                <w:sz w:val="24"/>
                <w:szCs w:val="24"/>
              </w:rPr>
            </w:pPr>
            <w:r>
              <w:rPr>
                <w:rFonts w:hint="eastAsia" w:ascii="宋体" w:hAnsi="宋体"/>
                <w:b/>
                <w:sz w:val="24"/>
                <w:szCs w:val="24"/>
              </w:rPr>
              <w:t>项目名称</w:t>
            </w:r>
          </w:p>
        </w:tc>
        <w:tc>
          <w:tcPr>
            <w:tcW w:w="7110" w:type="dxa"/>
            <w:noWrap w:val="0"/>
            <w:vAlign w:val="top"/>
          </w:tcPr>
          <w:p w14:paraId="17FE3169">
            <w:pPr>
              <w:spacing w:line="560" w:lineRule="exact"/>
              <w:rPr>
                <w:rFonts w:ascii="宋体" w:hAnsi="宋体"/>
                <w:b/>
                <w:sz w:val="24"/>
                <w:szCs w:val="24"/>
              </w:rPr>
            </w:pPr>
            <w:r>
              <w:rPr>
                <w:rFonts w:hint="eastAsia" w:ascii="宋体" w:hAnsi="宋体"/>
                <w:bCs/>
                <w:sz w:val="24"/>
                <w:szCs w:val="24"/>
                <w:u w:val="single"/>
              </w:rPr>
              <w:t>南昌大学保卫处2026年监控、门禁、道闸维保服务项目。</w:t>
            </w:r>
          </w:p>
        </w:tc>
      </w:tr>
      <w:tr w14:paraId="3B1AB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03" w:type="dxa"/>
            <w:noWrap w:val="0"/>
            <w:vAlign w:val="center"/>
          </w:tcPr>
          <w:p w14:paraId="08295B65">
            <w:pPr>
              <w:spacing w:line="560" w:lineRule="exact"/>
              <w:jc w:val="center"/>
              <w:rPr>
                <w:rFonts w:hint="eastAsia" w:ascii="宋体" w:hAnsi="宋体"/>
                <w:b/>
                <w:sz w:val="24"/>
                <w:szCs w:val="24"/>
              </w:rPr>
            </w:pPr>
            <w:r>
              <w:rPr>
                <w:rFonts w:hint="eastAsia" w:ascii="宋体" w:hAnsi="宋体"/>
                <w:b/>
                <w:sz w:val="24"/>
                <w:szCs w:val="24"/>
              </w:rPr>
              <w:t>项目用途</w:t>
            </w:r>
          </w:p>
        </w:tc>
        <w:tc>
          <w:tcPr>
            <w:tcW w:w="7110" w:type="dxa"/>
            <w:noWrap w:val="0"/>
            <w:vAlign w:val="top"/>
          </w:tcPr>
          <w:p w14:paraId="1E1DF833">
            <w:pPr>
              <w:spacing w:line="480" w:lineRule="exact"/>
              <w:rPr>
                <w:rFonts w:hint="eastAsia" w:ascii="宋体" w:hAnsi="宋体"/>
                <w:b/>
                <w:bCs/>
                <w:sz w:val="24"/>
                <w:szCs w:val="24"/>
              </w:rPr>
            </w:pPr>
            <w:r>
              <w:rPr>
                <w:rFonts w:hint="eastAsia" w:ascii="宋体" w:hAnsi="宋体"/>
                <w:sz w:val="24"/>
                <w:szCs w:val="24"/>
              </w:rPr>
              <w:t>维保范围包括南昌大学所有校区“前湖北校区、前湖南校区、青山湖校区、东湖校区”的校园综合安防系统。</w:t>
            </w:r>
          </w:p>
        </w:tc>
      </w:tr>
      <w:tr w14:paraId="138B0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03" w:type="dxa"/>
            <w:noWrap w:val="0"/>
            <w:vAlign w:val="center"/>
          </w:tcPr>
          <w:p w14:paraId="7D40D5F8">
            <w:pPr>
              <w:spacing w:line="560" w:lineRule="exact"/>
              <w:jc w:val="center"/>
              <w:rPr>
                <w:rFonts w:ascii="宋体" w:hAnsi="宋体"/>
                <w:b/>
                <w:sz w:val="24"/>
                <w:szCs w:val="24"/>
              </w:rPr>
            </w:pPr>
            <w:r>
              <w:rPr>
                <w:rFonts w:hint="eastAsia" w:ascii="宋体" w:hAnsi="宋体"/>
                <w:b/>
                <w:sz w:val="24"/>
                <w:szCs w:val="24"/>
              </w:rPr>
              <w:t>预算金额</w:t>
            </w:r>
          </w:p>
        </w:tc>
        <w:tc>
          <w:tcPr>
            <w:tcW w:w="7110" w:type="dxa"/>
            <w:noWrap w:val="0"/>
            <w:vAlign w:val="top"/>
          </w:tcPr>
          <w:p w14:paraId="02CA5116">
            <w:pPr>
              <w:spacing w:line="560" w:lineRule="exact"/>
              <w:rPr>
                <w:rFonts w:ascii="宋体" w:hAnsi="宋体"/>
                <w:bCs/>
                <w:sz w:val="24"/>
                <w:szCs w:val="24"/>
              </w:rPr>
            </w:pPr>
            <w:r>
              <w:rPr>
                <w:rFonts w:hint="eastAsia" w:ascii="宋体" w:hAnsi="宋体"/>
                <w:bCs/>
                <w:sz w:val="24"/>
                <w:szCs w:val="24"/>
                <w:lang w:val="en-US" w:eastAsia="zh-CN"/>
              </w:rPr>
              <w:t>7</w:t>
            </w:r>
            <w:r>
              <w:rPr>
                <w:rFonts w:hint="eastAsia" w:ascii="宋体" w:hAnsi="宋体"/>
                <w:bCs/>
                <w:sz w:val="24"/>
                <w:szCs w:val="24"/>
              </w:rPr>
              <w:t>00000.00元。</w:t>
            </w:r>
          </w:p>
        </w:tc>
      </w:tr>
      <w:tr w14:paraId="31370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03" w:type="dxa"/>
            <w:noWrap w:val="0"/>
            <w:vAlign w:val="center"/>
          </w:tcPr>
          <w:p w14:paraId="6BE54E72">
            <w:pPr>
              <w:spacing w:line="560" w:lineRule="exact"/>
              <w:jc w:val="center"/>
              <w:rPr>
                <w:rFonts w:hint="eastAsia" w:ascii="宋体" w:hAnsi="宋体"/>
                <w:b/>
                <w:sz w:val="24"/>
                <w:szCs w:val="24"/>
              </w:rPr>
            </w:pPr>
            <w:r>
              <w:rPr>
                <w:rFonts w:hint="eastAsia" w:ascii="宋体" w:hAnsi="宋体"/>
                <w:b/>
                <w:sz w:val="24"/>
                <w:szCs w:val="24"/>
              </w:rPr>
              <w:t>最高限价</w:t>
            </w:r>
          </w:p>
        </w:tc>
        <w:tc>
          <w:tcPr>
            <w:tcW w:w="7110" w:type="dxa"/>
            <w:noWrap w:val="0"/>
            <w:vAlign w:val="top"/>
          </w:tcPr>
          <w:p w14:paraId="3B5B9700">
            <w:pPr>
              <w:spacing w:line="560" w:lineRule="exact"/>
              <w:rPr>
                <w:rFonts w:hint="eastAsia" w:ascii="宋体" w:hAnsi="宋体"/>
                <w:bCs/>
                <w:sz w:val="24"/>
                <w:szCs w:val="24"/>
                <w:u w:val="single"/>
              </w:rPr>
            </w:pPr>
            <w:r>
              <w:rPr>
                <w:rFonts w:hint="eastAsia" w:ascii="宋体" w:hAnsi="宋体" w:cs="宋体"/>
                <w:spacing w:val="-1"/>
                <w:sz w:val="24"/>
                <w:szCs w:val="24"/>
              </w:rPr>
              <w:sym w:font="Wingdings 2" w:char="0052"/>
            </w:r>
            <w:r>
              <w:rPr>
                <w:rFonts w:hint="eastAsia" w:ascii="宋体" w:hAnsi="宋体"/>
                <w:bCs/>
                <w:sz w:val="24"/>
                <w:szCs w:val="24"/>
              </w:rPr>
              <w:t>有</w:t>
            </w:r>
            <w:r>
              <w:rPr>
                <w:rStyle w:val="16"/>
                <w:rFonts w:hint="eastAsia" w:ascii="宋体" w:hAnsi="宋体"/>
                <w:bCs/>
                <w:color w:val="auto"/>
                <w:sz w:val="24"/>
                <w:szCs w:val="24"/>
                <w:u w:val="none"/>
              </w:rPr>
              <w:t>（</w:t>
            </w:r>
            <w:r>
              <w:rPr>
                <w:rFonts w:hint="eastAsia" w:ascii="宋体" w:hAnsi="宋体"/>
                <w:bCs/>
                <w:sz w:val="24"/>
                <w:szCs w:val="24"/>
                <w:lang w:val="en-US" w:eastAsia="zh-CN"/>
              </w:rPr>
              <w:t>7</w:t>
            </w:r>
            <w:r>
              <w:rPr>
                <w:rFonts w:hint="eastAsia" w:ascii="宋体" w:hAnsi="宋体"/>
                <w:bCs/>
                <w:sz w:val="24"/>
                <w:szCs w:val="24"/>
              </w:rPr>
              <w:t>00000.00元），</w:t>
            </w:r>
            <w:r>
              <w:rPr>
                <w:rFonts w:hint="eastAsia" w:ascii="宋体" w:hAnsi="宋体"/>
                <w:bCs/>
                <w:sz w:val="24"/>
                <w:szCs w:val="24"/>
                <w:u w:val="single"/>
              </w:rPr>
              <w:sym w:font="Wingdings 2" w:char="00A3"/>
            </w:r>
            <w:r>
              <w:rPr>
                <w:rFonts w:hint="eastAsia" w:ascii="宋体" w:hAnsi="宋体"/>
                <w:bCs/>
                <w:sz w:val="24"/>
                <w:szCs w:val="24"/>
              </w:rPr>
              <w:t>无。</w:t>
            </w:r>
          </w:p>
        </w:tc>
      </w:tr>
      <w:tr w14:paraId="3CB5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03" w:type="dxa"/>
            <w:noWrap w:val="0"/>
            <w:vAlign w:val="center"/>
          </w:tcPr>
          <w:p w14:paraId="03A14EF8">
            <w:pPr>
              <w:spacing w:line="560" w:lineRule="exact"/>
              <w:jc w:val="center"/>
              <w:rPr>
                <w:rFonts w:hint="eastAsia" w:ascii="宋体" w:hAnsi="宋体"/>
                <w:b/>
                <w:sz w:val="24"/>
                <w:szCs w:val="24"/>
              </w:rPr>
            </w:pPr>
            <w:r>
              <w:rPr>
                <w:rFonts w:hint="eastAsia" w:ascii="宋体" w:hAnsi="宋体"/>
                <w:b/>
                <w:sz w:val="24"/>
                <w:szCs w:val="24"/>
              </w:rPr>
              <w:t>结算方式</w:t>
            </w:r>
          </w:p>
        </w:tc>
        <w:tc>
          <w:tcPr>
            <w:tcW w:w="7110" w:type="dxa"/>
            <w:noWrap w:val="0"/>
            <w:vAlign w:val="top"/>
          </w:tcPr>
          <w:p w14:paraId="52719B97">
            <w:pPr>
              <w:spacing w:line="560" w:lineRule="exact"/>
              <w:rPr>
                <w:rFonts w:ascii="宋体" w:hAnsi="宋体"/>
                <w:bCs/>
                <w:sz w:val="24"/>
                <w:szCs w:val="24"/>
              </w:rPr>
            </w:pPr>
            <w:r>
              <w:rPr>
                <w:rFonts w:hint="eastAsia" w:ascii="宋体" w:hAnsi="宋体" w:cs="宋体"/>
                <w:spacing w:val="-1"/>
                <w:sz w:val="24"/>
                <w:szCs w:val="24"/>
              </w:rPr>
              <w:sym w:font="Wingdings 2" w:char="0052"/>
            </w:r>
            <w:r>
              <w:rPr>
                <w:rFonts w:hint="eastAsia" w:ascii="宋体" w:hAnsi="宋体"/>
                <w:bCs/>
                <w:sz w:val="24"/>
                <w:szCs w:val="24"/>
              </w:rPr>
              <w:t>采用人民币结算。</w:t>
            </w:r>
            <w:r>
              <w:rPr>
                <w:rFonts w:hint="eastAsia" w:ascii="宋体" w:hAnsi="宋体"/>
                <w:bCs/>
                <w:sz w:val="24"/>
                <w:szCs w:val="24"/>
              </w:rPr>
              <w:sym w:font="Wingdings 2" w:char="00A3"/>
            </w:r>
            <w:r>
              <w:rPr>
                <w:rFonts w:hint="eastAsia" w:ascii="宋体" w:hAnsi="宋体"/>
                <w:bCs/>
                <w:sz w:val="24"/>
                <w:szCs w:val="24"/>
              </w:rPr>
              <w:t>采用外币或其他方式结算。</w:t>
            </w:r>
          </w:p>
        </w:tc>
      </w:tr>
      <w:tr w14:paraId="3DA3E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03" w:type="dxa"/>
            <w:noWrap w:val="0"/>
            <w:vAlign w:val="center"/>
          </w:tcPr>
          <w:p w14:paraId="4AB0DE66">
            <w:pPr>
              <w:pStyle w:val="2"/>
              <w:spacing w:before="0" w:after="0"/>
              <w:jc w:val="center"/>
              <w:rPr>
                <w:bCs w:val="0"/>
                <w:kern w:val="2"/>
                <w:lang w:val="en-US" w:eastAsia="zh-CN"/>
              </w:rPr>
            </w:pPr>
            <w:r>
              <w:rPr>
                <w:rStyle w:val="16"/>
                <w:rFonts w:hint="eastAsia" w:ascii="宋体" w:hAnsi="宋体"/>
                <w:bCs w:val="0"/>
                <w:color w:val="auto"/>
                <w:kern w:val="2"/>
                <w:sz w:val="24"/>
                <w:szCs w:val="24"/>
                <w:u w:val="none"/>
                <w:lang w:val="en-US" w:eastAsia="zh-CN"/>
              </w:rPr>
              <w:t>项目是否分包</w:t>
            </w:r>
          </w:p>
        </w:tc>
        <w:tc>
          <w:tcPr>
            <w:tcW w:w="7110" w:type="dxa"/>
            <w:noWrap w:val="0"/>
            <w:vAlign w:val="top"/>
          </w:tcPr>
          <w:p w14:paraId="0486A023">
            <w:pPr>
              <w:spacing w:line="560" w:lineRule="exact"/>
              <w:rPr>
                <w:rFonts w:ascii="宋体" w:hAnsi="宋体"/>
                <w:bCs/>
                <w:sz w:val="24"/>
                <w:szCs w:val="24"/>
              </w:rPr>
            </w:pPr>
            <w:r>
              <w:rPr>
                <w:rFonts w:hint="eastAsia" w:ascii="宋体" w:hAnsi="宋体"/>
                <w:bCs/>
                <w:sz w:val="24"/>
                <w:szCs w:val="24"/>
              </w:rPr>
              <w:t xml:space="preserve"> □是  </w:t>
            </w:r>
            <w:r>
              <w:rPr>
                <w:rFonts w:hint="eastAsia" w:ascii="宋体" w:hAnsi="宋体" w:cs="宋体"/>
                <w:spacing w:val="-1"/>
                <w:sz w:val="24"/>
                <w:szCs w:val="24"/>
              </w:rPr>
              <w:sym w:font="Wingdings 2" w:char="0052"/>
            </w:r>
            <w:r>
              <w:rPr>
                <w:rFonts w:hint="eastAsia" w:ascii="宋体" w:hAnsi="宋体"/>
                <w:bCs/>
                <w:sz w:val="24"/>
                <w:szCs w:val="24"/>
              </w:rPr>
              <w:t>否</w:t>
            </w:r>
            <w:r>
              <w:rPr>
                <w:rStyle w:val="16"/>
                <w:rFonts w:hint="eastAsia" w:ascii="宋体" w:hAnsi="宋体"/>
                <w:bCs/>
                <w:color w:val="auto"/>
                <w:sz w:val="24"/>
                <w:szCs w:val="24"/>
                <w:u w:val="none"/>
              </w:rPr>
              <w:t>。每个包的</w:t>
            </w:r>
            <w:r>
              <w:rPr>
                <w:rFonts w:hint="eastAsia" w:ascii="宋体" w:hAnsi="宋体"/>
                <w:bCs/>
                <w:sz w:val="24"/>
                <w:szCs w:val="24"/>
              </w:rPr>
              <w:t>预算</w:t>
            </w:r>
            <w:r>
              <w:rPr>
                <w:rFonts w:hint="eastAsia" w:ascii="宋体" w:hAnsi="宋体"/>
                <w:bCs/>
                <w:sz w:val="24"/>
                <w:szCs w:val="24"/>
                <w:u w:val="single"/>
              </w:rPr>
              <w:t xml:space="preserve">       </w:t>
            </w:r>
            <w:r>
              <w:rPr>
                <w:rFonts w:hint="eastAsia" w:ascii="宋体" w:hAnsi="宋体"/>
                <w:bCs/>
                <w:sz w:val="24"/>
                <w:szCs w:val="24"/>
              </w:rPr>
              <w:t>元；</w:t>
            </w:r>
          </w:p>
        </w:tc>
      </w:tr>
    </w:tbl>
    <w:p w14:paraId="4F837024">
      <w:pPr>
        <w:spacing w:line="560" w:lineRule="exact"/>
        <w:rPr>
          <w:rFonts w:ascii="黑体" w:hAnsi="黑体" w:eastAsia="黑体"/>
          <w:b/>
          <w:sz w:val="24"/>
          <w:szCs w:val="24"/>
        </w:rPr>
      </w:pPr>
      <w:r>
        <w:rPr>
          <w:rFonts w:hint="eastAsia" w:ascii="黑体" w:hAnsi="黑体" w:eastAsia="黑体"/>
          <w:b/>
          <w:sz w:val="24"/>
          <w:szCs w:val="24"/>
        </w:rPr>
        <w:t>二、采购标的一览表</w:t>
      </w:r>
    </w:p>
    <w:tbl>
      <w:tblPr>
        <w:tblStyle w:val="13"/>
        <w:tblpPr w:leftFromText="180" w:rightFromText="180" w:vertAnchor="text" w:horzAnchor="page" w:tblpX="1807" w:tblpY="223"/>
        <w:tblOverlap w:val="never"/>
        <w:tblW w:w="86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2551"/>
        <w:gridCol w:w="1276"/>
        <w:gridCol w:w="3861"/>
      </w:tblGrid>
      <w:tr w14:paraId="2BB3D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59" w:type="dxa"/>
            <w:noWrap w:val="0"/>
            <w:vAlign w:val="center"/>
          </w:tcPr>
          <w:p w14:paraId="1EB1A607">
            <w:pPr>
              <w:spacing w:line="360" w:lineRule="auto"/>
              <w:jc w:val="center"/>
              <w:rPr>
                <w:rFonts w:ascii="宋体" w:hAnsi="宋体"/>
                <w:sz w:val="24"/>
                <w:szCs w:val="24"/>
              </w:rPr>
            </w:pPr>
            <w:r>
              <w:rPr>
                <w:rFonts w:hint="eastAsia" w:ascii="宋体" w:hAnsi="宋体"/>
                <w:sz w:val="24"/>
                <w:szCs w:val="24"/>
              </w:rPr>
              <w:t>序号</w:t>
            </w:r>
          </w:p>
        </w:tc>
        <w:tc>
          <w:tcPr>
            <w:tcW w:w="2551" w:type="dxa"/>
            <w:noWrap w:val="0"/>
            <w:vAlign w:val="center"/>
          </w:tcPr>
          <w:p w14:paraId="1C81A39B">
            <w:pPr>
              <w:widowControl/>
              <w:spacing w:line="360" w:lineRule="auto"/>
              <w:jc w:val="center"/>
              <w:rPr>
                <w:rFonts w:ascii="宋体" w:hAnsi="宋体"/>
                <w:sz w:val="24"/>
                <w:szCs w:val="24"/>
              </w:rPr>
            </w:pPr>
            <w:r>
              <w:rPr>
                <w:rFonts w:hint="eastAsia" w:ascii="宋体" w:hAnsi="宋体"/>
                <w:sz w:val="24"/>
                <w:szCs w:val="24"/>
              </w:rPr>
              <w:t>服务名称</w:t>
            </w:r>
          </w:p>
        </w:tc>
        <w:tc>
          <w:tcPr>
            <w:tcW w:w="1276" w:type="dxa"/>
            <w:noWrap w:val="0"/>
            <w:vAlign w:val="center"/>
          </w:tcPr>
          <w:p w14:paraId="02DB95F4">
            <w:pPr>
              <w:widowControl/>
              <w:spacing w:line="360" w:lineRule="auto"/>
              <w:jc w:val="center"/>
              <w:rPr>
                <w:rFonts w:ascii="宋体" w:hAnsi="宋体"/>
                <w:sz w:val="24"/>
                <w:szCs w:val="24"/>
              </w:rPr>
            </w:pPr>
            <w:r>
              <w:rPr>
                <w:rFonts w:hint="eastAsia" w:ascii="宋体" w:hAnsi="宋体"/>
                <w:sz w:val="24"/>
                <w:szCs w:val="24"/>
              </w:rPr>
              <w:t>服务期限</w:t>
            </w:r>
          </w:p>
        </w:tc>
        <w:tc>
          <w:tcPr>
            <w:tcW w:w="3861" w:type="dxa"/>
            <w:noWrap w:val="0"/>
            <w:vAlign w:val="center"/>
          </w:tcPr>
          <w:p w14:paraId="15225D7C">
            <w:pPr>
              <w:widowControl/>
              <w:spacing w:line="360" w:lineRule="auto"/>
              <w:jc w:val="center"/>
              <w:rPr>
                <w:rFonts w:hint="eastAsia" w:ascii="宋体" w:hAnsi="宋体"/>
                <w:sz w:val="24"/>
                <w:szCs w:val="24"/>
              </w:rPr>
            </w:pPr>
            <w:r>
              <w:rPr>
                <w:rFonts w:hint="eastAsia" w:ascii="宋体" w:hAnsi="宋体"/>
                <w:sz w:val="24"/>
                <w:szCs w:val="24"/>
              </w:rPr>
              <w:t>服务要求</w:t>
            </w:r>
          </w:p>
        </w:tc>
      </w:tr>
      <w:tr w14:paraId="09BE6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59" w:type="dxa"/>
            <w:noWrap w:val="0"/>
            <w:vAlign w:val="center"/>
          </w:tcPr>
          <w:p w14:paraId="54A0276A">
            <w:pPr>
              <w:spacing w:line="360" w:lineRule="auto"/>
              <w:jc w:val="center"/>
              <w:rPr>
                <w:rFonts w:ascii="宋体" w:hAnsi="宋体"/>
                <w:sz w:val="24"/>
                <w:szCs w:val="24"/>
              </w:rPr>
            </w:pPr>
            <w:r>
              <w:rPr>
                <w:rFonts w:hint="eastAsia" w:ascii="宋体" w:hAnsi="宋体"/>
                <w:sz w:val="24"/>
                <w:szCs w:val="24"/>
              </w:rPr>
              <w:t>1</w:t>
            </w:r>
          </w:p>
        </w:tc>
        <w:tc>
          <w:tcPr>
            <w:tcW w:w="2551" w:type="dxa"/>
            <w:noWrap w:val="0"/>
            <w:vAlign w:val="center"/>
          </w:tcPr>
          <w:p w14:paraId="002F4F8B">
            <w:pPr>
              <w:widowControl/>
              <w:spacing w:line="360" w:lineRule="auto"/>
              <w:jc w:val="center"/>
              <w:rPr>
                <w:rFonts w:ascii="宋体" w:hAnsi="宋体"/>
                <w:sz w:val="24"/>
                <w:szCs w:val="24"/>
              </w:rPr>
            </w:pPr>
            <w:r>
              <w:rPr>
                <w:rFonts w:hint="eastAsia" w:ascii="宋体" w:hAnsi="宋体" w:cs="宋体"/>
                <w:bCs/>
                <w:color w:val="000000"/>
                <w:sz w:val="24"/>
                <w:szCs w:val="24"/>
              </w:rPr>
              <w:t>南昌大学保卫处2026年监控、门禁、道闸维保服务项目</w:t>
            </w:r>
          </w:p>
        </w:tc>
        <w:tc>
          <w:tcPr>
            <w:tcW w:w="1276" w:type="dxa"/>
            <w:noWrap w:val="0"/>
            <w:vAlign w:val="center"/>
          </w:tcPr>
          <w:p w14:paraId="5DED0E06">
            <w:pPr>
              <w:widowControl/>
              <w:spacing w:line="360" w:lineRule="auto"/>
              <w:jc w:val="center"/>
              <w:rPr>
                <w:rFonts w:ascii="宋体" w:hAnsi="宋体"/>
                <w:sz w:val="24"/>
                <w:szCs w:val="24"/>
              </w:rPr>
            </w:pPr>
            <w:r>
              <w:rPr>
                <w:rFonts w:hint="eastAsia" w:ascii="宋体" w:hAnsi="宋体" w:cs="宋体"/>
                <w:sz w:val="24"/>
                <w:szCs w:val="24"/>
                <w:lang w:val="en-US" w:eastAsia="zh-CN"/>
              </w:rPr>
              <w:t>1</w:t>
            </w:r>
            <w:r>
              <w:rPr>
                <w:rFonts w:hint="eastAsia" w:ascii="宋体" w:hAnsi="宋体" w:cs="宋体"/>
                <w:sz w:val="24"/>
                <w:szCs w:val="24"/>
              </w:rPr>
              <w:t>年</w:t>
            </w:r>
          </w:p>
        </w:tc>
        <w:tc>
          <w:tcPr>
            <w:tcW w:w="3861" w:type="dxa"/>
            <w:noWrap w:val="0"/>
            <w:vAlign w:val="center"/>
          </w:tcPr>
          <w:p w14:paraId="700AE8F5">
            <w:pPr>
              <w:widowControl/>
              <w:spacing w:line="360" w:lineRule="auto"/>
              <w:jc w:val="center"/>
              <w:rPr>
                <w:rFonts w:ascii="宋体" w:hAnsi="宋体"/>
                <w:sz w:val="24"/>
                <w:szCs w:val="24"/>
              </w:rPr>
            </w:pPr>
            <w:r>
              <w:rPr>
                <w:rFonts w:hint="eastAsia" w:ascii="宋体" w:hAnsi="宋体"/>
                <w:sz w:val="24"/>
                <w:szCs w:val="24"/>
              </w:rPr>
              <w:t>合同签订之日起至202</w:t>
            </w:r>
            <w:r>
              <w:rPr>
                <w:rFonts w:hint="eastAsia" w:ascii="宋体" w:hAnsi="宋体"/>
                <w:sz w:val="24"/>
                <w:szCs w:val="24"/>
                <w:lang w:val="en-US" w:eastAsia="zh-CN"/>
              </w:rPr>
              <w:t>6</w:t>
            </w:r>
            <w:r>
              <w:rPr>
                <w:rFonts w:hint="eastAsia" w:ascii="宋体" w:hAnsi="宋体"/>
                <w:sz w:val="24"/>
                <w:szCs w:val="24"/>
              </w:rPr>
              <w:t>年12月</w:t>
            </w:r>
            <w:r>
              <w:rPr>
                <w:rFonts w:hint="eastAsia" w:ascii="宋体" w:hAnsi="宋体"/>
                <w:sz w:val="24"/>
                <w:szCs w:val="24"/>
                <w:lang w:val="en-US" w:eastAsia="zh-CN"/>
              </w:rPr>
              <w:t>10</w:t>
            </w:r>
            <w:r>
              <w:rPr>
                <w:rFonts w:hint="eastAsia" w:ascii="宋体" w:hAnsi="宋体"/>
                <w:sz w:val="24"/>
                <w:szCs w:val="24"/>
              </w:rPr>
              <w:t>日。</w:t>
            </w:r>
          </w:p>
        </w:tc>
      </w:tr>
    </w:tbl>
    <w:p w14:paraId="5B28893E">
      <w:pPr>
        <w:spacing w:line="560" w:lineRule="exact"/>
        <w:rPr>
          <w:rFonts w:hint="eastAsia" w:ascii="黑体" w:hAnsi="黑体" w:eastAsia="黑体"/>
          <w:b/>
          <w:sz w:val="24"/>
          <w:szCs w:val="24"/>
        </w:rPr>
      </w:pPr>
      <w:r>
        <w:rPr>
          <w:rFonts w:hint="eastAsia" w:ascii="黑体" w:hAnsi="黑体" w:eastAsia="黑体"/>
          <w:b/>
          <w:sz w:val="24"/>
          <w:szCs w:val="24"/>
        </w:rPr>
        <w:t>三、技术要求</w:t>
      </w:r>
    </w:p>
    <w:p w14:paraId="084821A1">
      <w:pPr>
        <w:spacing w:line="460" w:lineRule="exact"/>
        <w:rPr>
          <w:rFonts w:ascii="宋体" w:hAnsi="宋体" w:cs="宋体"/>
          <w:b/>
          <w:bCs/>
          <w:sz w:val="24"/>
          <w:szCs w:val="24"/>
        </w:rPr>
      </w:pPr>
      <w:bookmarkStart w:id="0" w:name="_Toc12009"/>
      <w:bookmarkStart w:id="1" w:name="_Toc23956"/>
      <w:bookmarkStart w:id="2" w:name="_Toc10882"/>
      <w:bookmarkStart w:id="3" w:name="_Toc163068560"/>
      <w:r>
        <w:rPr>
          <w:rFonts w:hint="eastAsia" w:ascii="宋体" w:hAnsi="宋体" w:cs="宋体"/>
          <w:b/>
          <w:bCs/>
          <w:sz w:val="24"/>
          <w:szCs w:val="24"/>
        </w:rPr>
        <w:t>（一）</w:t>
      </w:r>
      <w:r>
        <w:rPr>
          <w:rFonts w:hint="eastAsia" w:ascii="宋体" w:hAnsi="宋体" w:cs="宋体"/>
          <w:bCs/>
          <w:color w:val="000000"/>
          <w:sz w:val="24"/>
          <w:szCs w:val="24"/>
        </w:rPr>
        <w:t>保卫处2026年监控、门禁、道闸维保服务</w:t>
      </w:r>
      <w:bookmarkEnd w:id="0"/>
      <w:bookmarkEnd w:id="1"/>
      <w:bookmarkEnd w:id="2"/>
      <w:bookmarkEnd w:id="3"/>
    </w:p>
    <w:tbl>
      <w:tblPr>
        <w:tblStyle w:val="13"/>
        <w:tblW w:w="503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33"/>
        <w:gridCol w:w="885"/>
        <w:gridCol w:w="6008"/>
        <w:gridCol w:w="840"/>
      </w:tblGrid>
      <w:tr w14:paraId="08135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378" w:type="pct"/>
            <w:tcBorders>
              <w:top w:val="single" w:color="auto" w:sz="4" w:space="0"/>
              <w:left w:val="single" w:color="auto" w:sz="4" w:space="0"/>
              <w:bottom w:val="single" w:color="auto" w:sz="4" w:space="0"/>
              <w:right w:val="single" w:color="auto" w:sz="4" w:space="0"/>
            </w:tcBorders>
            <w:noWrap w:val="0"/>
            <w:vAlign w:val="center"/>
          </w:tcPr>
          <w:p w14:paraId="29AF6EF0">
            <w:pPr>
              <w:spacing w:line="480" w:lineRule="exact"/>
              <w:jc w:val="center"/>
              <w:rPr>
                <w:rFonts w:ascii="宋体" w:hAnsi="宋体" w:cs="宋体"/>
                <w:b/>
                <w:sz w:val="24"/>
                <w:szCs w:val="24"/>
              </w:rPr>
            </w:pPr>
            <w:r>
              <w:rPr>
                <w:rFonts w:hint="eastAsia" w:ascii="宋体" w:hAnsi="宋体" w:cs="宋体"/>
                <w:b/>
                <w:sz w:val="24"/>
                <w:szCs w:val="24"/>
              </w:rPr>
              <w:t>序号</w:t>
            </w:r>
          </w:p>
        </w:tc>
        <w:tc>
          <w:tcPr>
            <w:tcW w:w="529" w:type="pct"/>
            <w:tcBorders>
              <w:top w:val="single" w:color="auto" w:sz="4" w:space="0"/>
              <w:left w:val="single" w:color="auto" w:sz="4" w:space="0"/>
              <w:bottom w:val="single" w:color="auto" w:sz="4" w:space="0"/>
              <w:right w:val="single" w:color="auto" w:sz="4" w:space="0"/>
            </w:tcBorders>
            <w:noWrap w:val="0"/>
            <w:vAlign w:val="center"/>
          </w:tcPr>
          <w:p w14:paraId="13F401AB">
            <w:pPr>
              <w:spacing w:line="480" w:lineRule="exact"/>
              <w:jc w:val="center"/>
              <w:rPr>
                <w:rFonts w:ascii="宋体" w:hAnsi="宋体" w:cs="宋体"/>
                <w:b/>
                <w:sz w:val="24"/>
                <w:szCs w:val="24"/>
              </w:rPr>
            </w:pPr>
            <w:r>
              <w:rPr>
                <w:rFonts w:hint="eastAsia" w:ascii="宋体" w:hAnsi="宋体" w:cs="宋体"/>
                <w:b/>
                <w:sz w:val="24"/>
                <w:szCs w:val="24"/>
              </w:rPr>
              <w:t>重要性</w:t>
            </w:r>
          </w:p>
        </w:tc>
        <w:tc>
          <w:tcPr>
            <w:tcW w:w="3590" w:type="pct"/>
            <w:tcBorders>
              <w:top w:val="single" w:color="auto" w:sz="4" w:space="0"/>
              <w:left w:val="single" w:color="auto" w:sz="4" w:space="0"/>
              <w:bottom w:val="single" w:color="auto" w:sz="4" w:space="0"/>
              <w:right w:val="single" w:color="auto" w:sz="4" w:space="0"/>
            </w:tcBorders>
            <w:noWrap w:val="0"/>
            <w:vAlign w:val="center"/>
          </w:tcPr>
          <w:p w14:paraId="7301C55A">
            <w:pPr>
              <w:spacing w:line="480" w:lineRule="exact"/>
              <w:jc w:val="center"/>
              <w:rPr>
                <w:rFonts w:ascii="宋体" w:hAnsi="宋体" w:cs="宋体"/>
                <w:b/>
                <w:sz w:val="24"/>
                <w:szCs w:val="24"/>
              </w:rPr>
            </w:pPr>
            <w:r>
              <w:rPr>
                <w:rFonts w:hint="eastAsia" w:ascii="宋体" w:hAnsi="宋体" w:cs="宋体"/>
                <w:b/>
                <w:sz w:val="24"/>
                <w:szCs w:val="24"/>
              </w:rPr>
              <w:t>服务要求</w:t>
            </w:r>
          </w:p>
        </w:tc>
        <w:tc>
          <w:tcPr>
            <w:tcW w:w="502" w:type="pct"/>
            <w:tcBorders>
              <w:top w:val="single" w:color="auto" w:sz="4" w:space="0"/>
              <w:left w:val="single" w:color="auto" w:sz="4" w:space="0"/>
              <w:bottom w:val="single" w:color="auto" w:sz="4" w:space="0"/>
              <w:right w:val="single" w:color="auto" w:sz="4" w:space="0"/>
            </w:tcBorders>
            <w:noWrap w:val="0"/>
            <w:vAlign w:val="center"/>
          </w:tcPr>
          <w:p w14:paraId="7BA2C928">
            <w:pPr>
              <w:spacing w:line="480" w:lineRule="exact"/>
              <w:jc w:val="center"/>
              <w:rPr>
                <w:rFonts w:ascii="宋体" w:hAnsi="宋体" w:cs="宋体"/>
                <w:b/>
                <w:sz w:val="24"/>
                <w:szCs w:val="24"/>
              </w:rPr>
            </w:pPr>
            <w:r>
              <w:rPr>
                <w:rFonts w:hint="eastAsia" w:ascii="宋体" w:hAnsi="宋体" w:cs="宋体"/>
                <w:b/>
                <w:sz w:val="24"/>
                <w:szCs w:val="24"/>
              </w:rPr>
              <w:t>证明材料要求</w:t>
            </w:r>
          </w:p>
        </w:tc>
      </w:tr>
      <w:tr w14:paraId="36BB4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6" w:hRule="atLeast"/>
          <w:jc w:val="center"/>
        </w:trPr>
        <w:tc>
          <w:tcPr>
            <w:tcW w:w="378" w:type="pct"/>
            <w:tcBorders>
              <w:top w:val="single" w:color="auto" w:sz="4" w:space="0"/>
              <w:left w:val="single" w:color="auto" w:sz="4" w:space="0"/>
              <w:bottom w:val="single" w:color="auto" w:sz="4" w:space="0"/>
              <w:right w:val="single" w:color="auto" w:sz="4" w:space="0"/>
            </w:tcBorders>
            <w:noWrap w:val="0"/>
            <w:vAlign w:val="center"/>
          </w:tcPr>
          <w:p w14:paraId="36DB9F08">
            <w:pPr>
              <w:spacing w:line="480" w:lineRule="exact"/>
              <w:jc w:val="center"/>
              <w:rPr>
                <w:rFonts w:ascii="宋体" w:hAnsi="宋体" w:cs="宋体"/>
                <w:b/>
                <w:sz w:val="24"/>
                <w:szCs w:val="24"/>
              </w:rPr>
            </w:pPr>
            <w:r>
              <w:rPr>
                <w:rFonts w:hint="eastAsia" w:ascii="宋体" w:hAnsi="宋体" w:cs="宋体"/>
                <w:b/>
                <w:sz w:val="24"/>
                <w:szCs w:val="24"/>
              </w:rPr>
              <w:t>1</w:t>
            </w:r>
          </w:p>
        </w:tc>
        <w:tc>
          <w:tcPr>
            <w:tcW w:w="529" w:type="pct"/>
            <w:tcBorders>
              <w:top w:val="single" w:color="auto" w:sz="4" w:space="0"/>
              <w:left w:val="single" w:color="auto" w:sz="4" w:space="0"/>
              <w:bottom w:val="single" w:color="auto" w:sz="4" w:space="0"/>
              <w:right w:val="single" w:color="auto" w:sz="4" w:space="0"/>
            </w:tcBorders>
            <w:noWrap w:val="0"/>
            <w:vAlign w:val="center"/>
          </w:tcPr>
          <w:p w14:paraId="20DD5411">
            <w:pPr>
              <w:spacing w:line="480" w:lineRule="exact"/>
              <w:jc w:val="center"/>
              <w:rPr>
                <w:rFonts w:ascii="宋体" w:hAnsi="宋体" w:cs="宋体"/>
                <w:b/>
                <w:sz w:val="24"/>
                <w:szCs w:val="24"/>
              </w:rPr>
            </w:pPr>
            <w:r>
              <w:rPr>
                <w:rFonts w:hint="eastAsia" w:ascii="宋体" w:hAnsi="宋体" w:cs="宋体"/>
                <w:b/>
                <w:bCs/>
                <w:spacing w:val="2"/>
                <w:sz w:val="24"/>
                <w:szCs w:val="24"/>
                <w:lang w:val="zh-CN"/>
              </w:rPr>
              <w:t>★</w:t>
            </w:r>
          </w:p>
        </w:tc>
        <w:tc>
          <w:tcPr>
            <w:tcW w:w="3590" w:type="pct"/>
            <w:tcBorders>
              <w:top w:val="single" w:color="auto" w:sz="4" w:space="0"/>
              <w:left w:val="single" w:color="auto" w:sz="4" w:space="0"/>
              <w:bottom w:val="single" w:color="auto" w:sz="4" w:space="0"/>
              <w:right w:val="single" w:color="auto" w:sz="4" w:space="0"/>
            </w:tcBorders>
            <w:noWrap w:val="0"/>
            <w:vAlign w:val="center"/>
          </w:tcPr>
          <w:p w14:paraId="5BE824B3">
            <w:pPr>
              <w:spacing w:line="360" w:lineRule="auto"/>
              <w:rPr>
                <w:rFonts w:ascii="宋体" w:hAnsi="宋体"/>
                <w:b/>
                <w:bCs/>
                <w:sz w:val="24"/>
                <w:szCs w:val="24"/>
              </w:rPr>
            </w:pPr>
            <w:r>
              <w:rPr>
                <w:rFonts w:hint="eastAsia" w:ascii="宋体" w:hAnsi="宋体"/>
                <w:b/>
                <w:bCs/>
                <w:sz w:val="24"/>
                <w:szCs w:val="24"/>
              </w:rPr>
              <w:t>维保期限：</w:t>
            </w:r>
          </w:p>
          <w:p w14:paraId="37106217">
            <w:pPr>
              <w:spacing w:line="360" w:lineRule="auto"/>
              <w:rPr>
                <w:rFonts w:hint="eastAsia" w:ascii="宋体" w:hAnsi="宋体"/>
                <w:sz w:val="24"/>
                <w:szCs w:val="24"/>
              </w:rPr>
            </w:pPr>
            <w:r>
              <w:rPr>
                <w:rFonts w:hint="eastAsia" w:ascii="宋体" w:hAnsi="宋体"/>
                <w:sz w:val="24"/>
                <w:szCs w:val="24"/>
              </w:rPr>
              <w:t>合同签订之日起至202</w:t>
            </w:r>
            <w:r>
              <w:rPr>
                <w:rFonts w:hint="eastAsia" w:ascii="宋体" w:hAnsi="宋体"/>
                <w:sz w:val="24"/>
                <w:szCs w:val="24"/>
                <w:lang w:val="en-US" w:eastAsia="zh-CN"/>
              </w:rPr>
              <w:t>6</w:t>
            </w:r>
            <w:r>
              <w:rPr>
                <w:rFonts w:hint="eastAsia" w:ascii="宋体" w:hAnsi="宋体"/>
                <w:sz w:val="24"/>
                <w:szCs w:val="24"/>
              </w:rPr>
              <w:t>年12月</w:t>
            </w:r>
            <w:r>
              <w:rPr>
                <w:rFonts w:hint="eastAsia" w:ascii="宋体" w:hAnsi="宋体"/>
                <w:sz w:val="24"/>
                <w:szCs w:val="24"/>
                <w:lang w:val="en-US" w:eastAsia="zh-CN"/>
              </w:rPr>
              <w:t>10</w:t>
            </w:r>
            <w:r>
              <w:rPr>
                <w:rFonts w:hint="eastAsia" w:ascii="宋体" w:hAnsi="宋体"/>
                <w:sz w:val="24"/>
                <w:szCs w:val="24"/>
              </w:rPr>
              <w:t>日。</w:t>
            </w:r>
          </w:p>
          <w:p w14:paraId="6895AD97">
            <w:pPr>
              <w:pStyle w:val="2"/>
              <w:spacing w:before="0" w:after="0" w:line="360" w:lineRule="auto"/>
              <w:rPr>
                <w:rFonts w:hint="eastAsia" w:ascii="宋体" w:hAnsi="宋体"/>
                <w:sz w:val="24"/>
                <w:szCs w:val="24"/>
                <w:lang w:val="en-US" w:eastAsia="zh-CN"/>
              </w:rPr>
            </w:pPr>
            <w:r>
              <w:rPr>
                <w:rFonts w:hint="eastAsia" w:ascii="宋体" w:hAnsi="宋体"/>
                <w:sz w:val="24"/>
                <w:szCs w:val="24"/>
                <w:lang w:val="en-US" w:eastAsia="zh-CN"/>
              </w:rPr>
              <w:t>维保内容：</w:t>
            </w:r>
          </w:p>
          <w:p w14:paraId="05EC03C3">
            <w:pPr>
              <w:spacing w:line="360" w:lineRule="auto"/>
              <w:rPr>
                <w:rFonts w:hint="eastAsia" w:ascii="宋体" w:hAnsi="宋体"/>
                <w:sz w:val="24"/>
                <w:szCs w:val="24"/>
                <w:lang w:val="en-US" w:eastAsia="zh-CN"/>
              </w:rPr>
            </w:pPr>
            <w:r>
              <w:rPr>
                <w:rFonts w:hint="eastAsia" w:ascii="宋体" w:hAnsi="宋体"/>
                <w:sz w:val="24"/>
                <w:szCs w:val="24"/>
              </w:rPr>
              <w:t>全年技术服务：</w:t>
            </w:r>
            <w:r>
              <w:rPr>
                <w:rFonts w:hint="eastAsia" w:ascii="宋体" w:hAnsi="宋体"/>
                <w:sz w:val="24"/>
                <w:szCs w:val="24"/>
                <w:lang w:val="en-US" w:eastAsia="zh-CN"/>
              </w:rPr>
              <w:t>安排6</w:t>
            </w:r>
            <w:r>
              <w:rPr>
                <w:rFonts w:hint="eastAsia" w:ascii="宋体" w:hAnsi="宋体"/>
                <w:sz w:val="24"/>
                <w:szCs w:val="24"/>
              </w:rPr>
              <w:t>名专业维保技术人员</w:t>
            </w:r>
            <w:r>
              <w:rPr>
                <w:rFonts w:hint="eastAsia" w:ascii="宋体" w:hAnsi="宋体"/>
                <w:sz w:val="24"/>
                <w:szCs w:val="24"/>
                <w:lang w:val="en-US" w:eastAsia="zh-CN"/>
              </w:rPr>
              <w:t>提供技术服务，保障服务范围内所有设备及系统均可正常运转。</w:t>
            </w:r>
          </w:p>
          <w:p w14:paraId="4D9B2F2A">
            <w:pPr>
              <w:spacing w:line="360" w:lineRule="auto"/>
            </w:pPr>
            <w:r>
              <w:rPr>
                <w:rFonts w:hint="eastAsia" w:ascii="宋体" w:hAnsi="宋体"/>
                <w:sz w:val="24"/>
                <w:szCs w:val="24"/>
              </w:rPr>
              <w:t>全年服务设备：</w:t>
            </w:r>
            <w:r>
              <w:rPr>
                <w:rFonts w:hint="eastAsia" w:ascii="宋体" w:hAnsi="宋体"/>
                <w:sz w:val="24"/>
                <w:szCs w:val="24"/>
                <w:lang w:val="en-US" w:eastAsia="zh-CN"/>
              </w:rPr>
              <w:t>对</w:t>
            </w:r>
            <w:r>
              <w:rPr>
                <w:rFonts w:hint="eastAsia" w:ascii="宋体" w:hAnsi="宋体"/>
                <w:sz w:val="24"/>
                <w:szCs w:val="24"/>
              </w:rPr>
              <w:t>维保</w:t>
            </w:r>
            <w:r>
              <w:rPr>
                <w:rFonts w:hint="eastAsia" w:ascii="宋体" w:hAnsi="宋体"/>
                <w:sz w:val="24"/>
                <w:szCs w:val="24"/>
                <w:lang w:val="en-US" w:eastAsia="zh-CN"/>
              </w:rPr>
              <w:t>服务范围内所有无法修复或遗失的设备提供所需设备</w:t>
            </w:r>
            <w:r>
              <w:rPr>
                <w:rFonts w:hint="eastAsia" w:ascii="宋体" w:hAnsi="宋体"/>
                <w:sz w:val="24"/>
                <w:szCs w:val="24"/>
              </w:rPr>
              <w:t>及配件（按</w:t>
            </w:r>
            <w:r>
              <w:rPr>
                <w:rFonts w:hint="eastAsia" w:ascii="宋体" w:hAnsi="宋体"/>
                <w:sz w:val="24"/>
                <w:szCs w:val="24"/>
                <w:lang w:val="en-US" w:eastAsia="zh-CN"/>
              </w:rPr>
              <w:t>22</w:t>
            </w:r>
            <w:r>
              <w:rPr>
                <w:rFonts w:hint="eastAsia" w:ascii="宋体" w:hAnsi="宋体"/>
                <w:sz w:val="24"/>
                <w:szCs w:val="24"/>
              </w:rPr>
              <w:t>万元/年计算</w:t>
            </w:r>
            <w:r>
              <w:rPr>
                <w:rFonts w:hint="eastAsia" w:ascii="宋体" w:hAnsi="宋体"/>
                <w:sz w:val="24"/>
                <w:szCs w:val="24"/>
                <w:lang w:eastAsia="zh-CN"/>
              </w:rPr>
              <w:t>，</w:t>
            </w:r>
            <w:r>
              <w:rPr>
                <w:rFonts w:hint="eastAsia" w:ascii="宋体" w:hAnsi="宋体"/>
                <w:sz w:val="24"/>
                <w:szCs w:val="24"/>
                <w:lang w:val="en-US" w:eastAsia="zh-CN"/>
              </w:rPr>
              <w:t>超出22/年的设备，由中标方免费提供</w:t>
            </w:r>
            <w:r>
              <w:rPr>
                <w:rFonts w:hint="eastAsia" w:ascii="宋体" w:hAnsi="宋体"/>
                <w:sz w:val="24"/>
                <w:szCs w:val="24"/>
              </w:rPr>
              <w:t>）。</w:t>
            </w:r>
          </w:p>
          <w:p w14:paraId="02C2BD26">
            <w:pPr>
              <w:spacing w:line="360" w:lineRule="auto"/>
              <w:rPr>
                <w:rFonts w:ascii="宋体" w:hAnsi="宋体"/>
                <w:b/>
                <w:bCs/>
                <w:sz w:val="24"/>
                <w:szCs w:val="24"/>
              </w:rPr>
            </w:pPr>
            <w:r>
              <w:rPr>
                <w:rFonts w:hint="eastAsia" w:ascii="宋体" w:hAnsi="宋体"/>
                <w:b/>
                <w:bCs/>
                <w:sz w:val="24"/>
                <w:szCs w:val="24"/>
              </w:rPr>
              <w:t>维保技术人员服务范围：</w:t>
            </w:r>
          </w:p>
          <w:p w14:paraId="0A258476">
            <w:pPr>
              <w:spacing w:line="360" w:lineRule="auto"/>
              <w:rPr>
                <w:rFonts w:hint="eastAsia" w:ascii="宋体" w:hAnsi="宋体"/>
                <w:b/>
                <w:color w:val="FF0000"/>
                <w:sz w:val="24"/>
                <w:szCs w:val="24"/>
              </w:rPr>
            </w:pPr>
            <w:r>
              <w:rPr>
                <w:rFonts w:hint="eastAsia" w:ascii="宋体" w:hAnsi="宋体"/>
                <w:sz w:val="24"/>
                <w:szCs w:val="24"/>
              </w:rPr>
              <w:t>包括南昌大学所有校区“前湖北校区、前湖南校区、青山湖校区、东湖校区”的校园综合安防系统</w:t>
            </w:r>
            <w:r>
              <w:rPr>
                <w:rFonts w:hint="eastAsia" w:ascii="宋体" w:hAnsi="宋体"/>
                <w:color w:val="auto"/>
                <w:sz w:val="24"/>
                <w:szCs w:val="24"/>
              </w:rPr>
              <w:t>。</w:t>
            </w:r>
            <w:r>
              <w:rPr>
                <w:rFonts w:hint="eastAsia" w:ascii="宋体" w:hAnsi="宋体"/>
                <w:b/>
                <w:color w:val="auto"/>
                <w:sz w:val="24"/>
                <w:szCs w:val="24"/>
                <w:lang w:eastAsia="zh-CN"/>
              </w:rPr>
              <w:t>采购方</w:t>
            </w:r>
            <w:r>
              <w:rPr>
                <w:rFonts w:hint="eastAsia" w:ascii="宋体" w:hAnsi="宋体"/>
                <w:b/>
                <w:color w:val="auto"/>
                <w:sz w:val="24"/>
                <w:szCs w:val="24"/>
              </w:rPr>
              <w:t>所配置的安防系统主要包含：综合安防管理平台（服务器）1套、人脸业务平台1套、监控管理电脑11台、液晶拼接屏6块、LED显示屏3套、人脸门禁道闸机41台、测速提示牌22块、车辆道闸系统6套、电动车辆识别道匝8套、磁盘阵列5台、UPS不间断电源1套、摄像机6378台、卡口设备2套、硬盘录像机55台、硬盘330块、交换机、光纤收发器、光模块、防雷器、信号线、电源等所有安防相关设备和配件。</w:t>
            </w:r>
          </w:p>
          <w:p w14:paraId="631E5249">
            <w:pPr>
              <w:spacing w:line="360" w:lineRule="auto"/>
            </w:pPr>
            <w:r>
              <w:rPr>
                <w:rFonts w:hint="eastAsia" w:ascii="宋体" w:hAnsi="宋体"/>
                <w:b/>
                <w:bCs/>
                <w:sz w:val="24"/>
                <w:szCs w:val="24"/>
              </w:rPr>
              <w:t>维保技术人员</w:t>
            </w:r>
            <w:r>
              <w:rPr>
                <w:rFonts w:hint="eastAsia" w:ascii="宋体" w:hAnsi="宋体"/>
                <w:b/>
                <w:bCs/>
                <w:sz w:val="24"/>
                <w:szCs w:val="24"/>
                <w:lang w:val="en-US" w:eastAsia="zh-CN"/>
              </w:rPr>
              <w:t>技术及证书要求</w:t>
            </w:r>
            <w:r>
              <w:rPr>
                <w:rFonts w:hint="eastAsia" w:ascii="宋体" w:hAnsi="宋体"/>
                <w:b/>
                <w:bCs/>
                <w:sz w:val="24"/>
                <w:szCs w:val="24"/>
              </w:rPr>
              <w:t>：</w:t>
            </w:r>
          </w:p>
          <w:p w14:paraId="5E510C32">
            <w:pPr>
              <w:pStyle w:val="2"/>
              <w:numPr>
                <w:ilvl w:val="0"/>
                <w:numId w:val="0"/>
              </w:numPr>
              <w:spacing w:before="0" w:after="0" w:line="360" w:lineRule="auto"/>
              <w:rPr>
                <w:rFonts w:hint="default" w:ascii="宋体" w:hAnsi="宋体"/>
                <w:b w:val="0"/>
                <w:bCs w:val="0"/>
                <w:sz w:val="24"/>
                <w:szCs w:val="24"/>
                <w:lang w:val="en-US" w:eastAsia="zh-CN"/>
              </w:rPr>
            </w:pPr>
            <w:r>
              <w:rPr>
                <w:rFonts w:hint="eastAsia" w:ascii="宋体" w:hAnsi="宋体"/>
                <w:b w:val="0"/>
                <w:bCs w:val="0"/>
                <w:sz w:val="24"/>
                <w:szCs w:val="24"/>
                <w:lang w:val="en-US" w:eastAsia="zh-CN"/>
              </w:rPr>
              <w:t>技术要求：对维保工作提供技术支撑，按采购方要求对维保范围内所有损坏设备及系统进行及时修复；按采购方要求对维保服务范围内所有设备及系统进行保养。</w:t>
            </w:r>
          </w:p>
          <w:p w14:paraId="1FE735FE">
            <w:pPr>
              <w:pStyle w:val="2"/>
              <w:numPr>
                <w:ilvl w:val="0"/>
                <w:numId w:val="0"/>
              </w:numPr>
              <w:spacing w:before="0" w:after="0" w:line="360" w:lineRule="auto"/>
              <w:rPr>
                <w:rFonts w:hint="default"/>
                <w:lang w:val="en-US" w:eastAsia="zh-CN"/>
              </w:rPr>
            </w:pPr>
            <w:r>
              <w:rPr>
                <w:rFonts w:hint="eastAsia" w:ascii="宋体" w:hAnsi="宋体"/>
                <w:b w:val="0"/>
                <w:bCs w:val="0"/>
                <w:sz w:val="24"/>
                <w:szCs w:val="24"/>
                <w:lang w:val="en-US" w:eastAsia="zh-CN"/>
              </w:rPr>
              <w:t>证书要求：所有维保技术人员均需持有特种作业操作证（低压电工）。</w:t>
            </w:r>
          </w:p>
          <w:p w14:paraId="1C45F6CD">
            <w:pPr>
              <w:pStyle w:val="2"/>
              <w:spacing w:before="0" w:after="0" w:line="360" w:lineRule="auto"/>
              <w:rPr>
                <w:rFonts w:hint="eastAsia" w:ascii="宋体" w:hAnsi="宋体"/>
                <w:sz w:val="24"/>
                <w:szCs w:val="24"/>
                <w:lang w:val="en-US" w:eastAsia="zh-CN"/>
              </w:rPr>
            </w:pPr>
            <w:r>
              <w:rPr>
                <w:rFonts w:hint="eastAsia" w:ascii="宋体" w:hAnsi="宋体"/>
                <w:sz w:val="24"/>
                <w:szCs w:val="24"/>
                <w:lang w:val="en-US" w:eastAsia="zh-CN"/>
              </w:rPr>
              <w:t>维保所需设备及配件要求：</w:t>
            </w:r>
          </w:p>
          <w:p w14:paraId="50869B7C">
            <w:pPr>
              <w:spacing w:line="360" w:lineRule="auto"/>
            </w:pPr>
            <w:r>
              <w:rPr>
                <w:rFonts w:hint="eastAsia" w:ascii="宋体" w:hAnsi="宋体" w:eastAsia="宋体" w:cs="Times New Roman"/>
                <w:b w:val="0"/>
                <w:bCs w:val="0"/>
                <w:kern w:val="0"/>
                <w:sz w:val="24"/>
                <w:szCs w:val="24"/>
                <w:lang w:val="en-US" w:eastAsia="zh-CN" w:bidi="ar-SA"/>
              </w:rPr>
              <w:t>所需设备及配件参照“维保所需设备及配件”清单，本批设备仅用于维保期间维保服务范围内包含设备</w:t>
            </w:r>
            <w:r>
              <w:rPr>
                <w:rFonts w:hint="eastAsia" w:ascii="宋体" w:hAnsi="宋体" w:eastAsia="宋体" w:cs="Times New Roman"/>
                <w:b w:val="0"/>
                <w:bCs w:val="0"/>
                <w:kern w:val="0"/>
                <w:sz w:val="24"/>
                <w:szCs w:val="24"/>
                <w:lang w:val="en-US" w:eastAsia="zh-CN" w:bidi="ar-SA"/>
              </w:rPr>
              <w:footnoteReference w:id="0"/>
            </w:r>
            <w:r>
              <w:rPr>
                <w:rFonts w:hint="eastAsia" w:ascii="宋体" w:hAnsi="宋体" w:eastAsia="宋体" w:cs="Times New Roman"/>
                <w:b w:val="0"/>
                <w:bCs w:val="0"/>
                <w:kern w:val="0"/>
                <w:sz w:val="24"/>
                <w:szCs w:val="24"/>
                <w:lang w:val="en-US" w:eastAsia="zh-CN" w:bidi="ar-SA"/>
              </w:rPr>
              <w:t>的修复和替换，并且保障替换设备为全新设备，采购方和中标方均不可用作其他用途。每次使用须报采购方管理人员确认，经采购方同意后方可进行更换。</w:t>
            </w:r>
          </w:p>
        </w:tc>
        <w:tc>
          <w:tcPr>
            <w:tcW w:w="502" w:type="pct"/>
            <w:tcBorders>
              <w:top w:val="single" w:color="auto" w:sz="4" w:space="0"/>
              <w:left w:val="single" w:color="auto" w:sz="4" w:space="0"/>
              <w:bottom w:val="single" w:color="auto" w:sz="4" w:space="0"/>
              <w:right w:val="single" w:color="auto" w:sz="4" w:space="0"/>
            </w:tcBorders>
            <w:noWrap w:val="0"/>
            <w:vAlign w:val="center"/>
          </w:tcPr>
          <w:p w14:paraId="2B69F353">
            <w:pPr>
              <w:spacing w:line="480" w:lineRule="exact"/>
              <w:jc w:val="center"/>
              <w:rPr>
                <w:rFonts w:ascii="宋体" w:hAnsi="宋体" w:cs="宋体"/>
                <w:b/>
                <w:sz w:val="24"/>
                <w:szCs w:val="24"/>
              </w:rPr>
            </w:pPr>
            <w:r>
              <w:rPr>
                <w:rFonts w:hint="eastAsia" w:ascii="宋体" w:hAnsi="宋体" w:cs="宋体"/>
                <w:b/>
                <w:bCs/>
                <w:sz w:val="24"/>
                <w:szCs w:val="24"/>
              </w:rPr>
              <w:t>服务要求响应/偏离表</w:t>
            </w:r>
          </w:p>
        </w:tc>
      </w:tr>
      <w:tr w14:paraId="778E2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378" w:type="pct"/>
            <w:tcBorders>
              <w:top w:val="single" w:color="auto" w:sz="4" w:space="0"/>
              <w:left w:val="single" w:color="auto" w:sz="4" w:space="0"/>
              <w:bottom w:val="single" w:color="auto" w:sz="4" w:space="0"/>
              <w:right w:val="single" w:color="auto" w:sz="4" w:space="0"/>
            </w:tcBorders>
            <w:noWrap w:val="0"/>
            <w:vAlign w:val="center"/>
          </w:tcPr>
          <w:p w14:paraId="0AD17619">
            <w:pPr>
              <w:spacing w:line="480" w:lineRule="exact"/>
              <w:jc w:val="center"/>
              <w:rPr>
                <w:rFonts w:ascii="宋体" w:hAnsi="宋体" w:cs="宋体"/>
                <w:sz w:val="24"/>
                <w:szCs w:val="24"/>
              </w:rPr>
            </w:pPr>
            <w:r>
              <w:rPr>
                <w:rFonts w:hint="eastAsia" w:ascii="宋体" w:hAnsi="宋体" w:cs="宋体"/>
                <w:sz w:val="24"/>
                <w:szCs w:val="24"/>
              </w:rPr>
              <w:t>2</w:t>
            </w:r>
          </w:p>
        </w:tc>
        <w:tc>
          <w:tcPr>
            <w:tcW w:w="529" w:type="pct"/>
            <w:tcBorders>
              <w:top w:val="single" w:color="auto" w:sz="4" w:space="0"/>
              <w:left w:val="single" w:color="auto" w:sz="4" w:space="0"/>
              <w:bottom w:val="single" w:color="auto" w:sz="4" w:space="0"/>
              <w:right w:val="single" w:color="auto" w:sz="4" w:space="0"/>
            </w:tcBorders>
            <w:noWrap w:val="0"/>
            <w:vAlign w:val="center"/>
          </w:tcPr>
          <w:p w14:paraId="7EFAD00B">
            <w:pPr>
              <w:spacing w:line="480" w:lineRule="exact"/>
              <w:jc w:val="center"/>
              <w:rPr>
                <w:rFonts w:ascii="宋体" w:hAnsi="宋体" w:cs="宋体"/>
                <w:sz w:val="24"/>
                <w:szCs w:val="24"/>
              </w:rPr>
            </w:pPr>
            <w:r>
              <w:rPr>
                <w:rFonts w:hint="eastAsia" w:ascii="宋体" w:hAnsi="宋体" w:cs="宋体"/>
                <w:b/>
                <w:bCs/>
                <w:spacing w:val="2"/>
                <w:sz w:val="24"/>
                <w:szCs w:val="24"/>
                <w:lang w:val="zh-CN"/>
              </w:rPr>
              <w:t>★</w:t>
            </w:r>
          </w:p>
        </w:tc>
        <w:tc>
          <w:tcPr>
            <w:tcW w:w="3590" w:type="pct"/>
            <w:tcBorders>
              <w:top w:val="single" w:color="auto" w:sz="4" w:space="0"/>
              <w:left w:val="single" w:color="auto" w:sz="4" w:space="0"/>
              <w:bottom w:val="single" w:color="auto" w:sz="4" w:space="0"/>
              <w:right w:val="single" w:color="auto" w:sz="4" w:space="0"/>
            </w:tcBorders>
            <w:noWrap w:val="0"/>
            <w:vAlign w:val="center"/>
          </w:tcPr>
          <w:p w14:paraId="284739D0">
            <w:pPr>
              <w:spacing w:line="480" w:lineRule="exact"/>
              <w:rPr>
                <w:rFonts w:ascii="宋体" w:hAnsi="宋体"/>
                <w:b/>
                <w:sz w:val="24"/>
                <w:szCs w:val="24"/>
              </w:rPr>
            </w:pPr>
            <w:bookmarkStart w:id="4" w:name="_Hlk178494302"/>
            <w:r>
              <w:rPr>
                <w:rFonts w:hint="eastAsia" w:ascii="宋体" w:hAnsi="宋体"/>
                <w:b/>
                <w:sz w:val="24"/>
                <w:szCs w:val="24"/>
              </w:rPr>
              <w:t>维保工作内容：</w:t>
            </w:r>
          </w:p>
          <w:p w14:paraId="3B687302">
            <w:pPr>
              <w:numPr>
                <w:ilvl w:val="0"/>
                <w:numId w:val="1"/>
              </w:numPr>
              <w:spacing w:line="480" w:lineRule="exact"/>
              <w:rPr>
                <w:rFonts w:hint="eastAsia" w:ascii="宋体" w:hAnsi="宋体"/>
                <w:sz w:val="24"/>
                <w:szCs w:val="24"/>
              </w:rPr>
            </w:pPr>
            <w:r>
              <w:rPr>
                <w:rFonts w:hint="eastAsia" w:ascii="宋体" w:hAnsi="宋体"/>
                <w:sz w:val="24"/>
                <w:szCs w:val="24"/>
              </w:rPr>
              <w:t>定点值班：</w:t>
            </w:r>
            <w:r>
              <w:rPr>
                <w:rFonts w:hint="eastAsia" w:ascii="宋体" w:hAnsi="宋体"/>
                <w:sz w:val="24"/>
                <w:szCs w:val="24"/>
                <w:lang w:eastAsia="zh-CN"/>
              </w:rPr>
              <w:t>中标方</w:t>
            </w:r>
            <w:r>
              <w:rPr>
                <w:rFonts w:hint="eastAsia" w:ascii="宋体" w:hAnsi="宋体"/>
                <w:sz w:val="24"/>
                <w:szCs w:val="24"/>
              </w:rPr>
              <w:t>必须安排</w:t>
            </w:r>
            <w:r>
              <w:rPr>
                <w:rFonts w:hint="eastAsia" w:ascii="宋体" w:hAnsi="宋体"/>
                <w:sz w:val="24"/>
                <w:szCs w:val="24"/>
                <w:lang w:val="en-US" w:eastAsia="zh-CN"/>
              </w:rPr>
              <w:t>6</w:t>
            </w:r>
            <w:r>
              <w:rPr>
                <w:rFonts w:hint="eastAsia" w:ascii="宋体" w:hAnsi="宋体"/>
                <w:sz w:val="24"/>
                <w:szCs w:val="24"/>
              </w:rPr>
              <w:t>名专业维保技术人员在学校各校区监控中心定点值班，维保队伍人数总计：前湖校区</w:t>
            </w:r>
            <w:r>
              <w:rPr>
                <w:rFonts w:hint="eastAsia" w:ascii="宋体" w:hAnsi="宋体"/>
                <w:sz w:val="24"/>
                <w:szCs w:val="24"/>
                <w:lang w:val="en-US" w:eastAsia="zh-CN"/>
              </w:rPr>
              <w:t>4</w:t>
            </w:r>
            <w:r>
              <w:rPr>
                <w:rFonts w:hint="eastAsia" w:ascii="宋体" w:hAnsi="宋体"/>
                <w:sz w:val="24"/>
                <w:szCs w:val="24"/>
              </w:rPr>
              <w:t>人、东湖校区1人、青山湖校区1人</w:t>
            </w:r>
            <w:r>
              <w:rPr>
                <w:rFonts w:hint="eastAsia" w:ascii="宋体" w:hAnsi="宋体"/>
                <w:sz w:val="24"/>
                <w:szCs w:val="24"/>
                <w:lang w:eastAsia="zh-CN"/>
              </w:rPr>
              <w:t>，</w:t>
            </w:r>
            <w:r>
              <w:rPr>
                <w:rFonts w:hint="eastAsia" w:ascii="宋体" w:hAnsi="宋体"/>
                <w:sz w:val="24"/>
                <w:szCs w:val="24"/>
              </w:rPr>
              <w:t>值班时间同步</w:t>
            </w:r>
            <w:r>
              <w:rPr>
                <w:rFonts w:hint="eastAsia" w:ascii="宋体" w:hAnsi="宋体"/>
                <w:sz w:val="24"/>
                <w:szCs w:val="24"/>
                <w:lang w:eastAsia="zh-CN"/>
              </w:rPr>
              <w:t>采购方</w:t>
            </w:r>
            <w:r>
              <w:rPr>
                <w:rFonts w:hint="eastAsia" w:ascii="宋体" w:hAnsi="宋体"/>
                <w:sz w:val="24"/>
                <w:szCs w:val="24"/>
              </w:rPr>
              <w:t>工作时间</w:t>
            </w:r>
            <w:r>
              <w:rPr>
                <w:rFonts w:hint="eastAsia" w:ascii="宋体" w:hAnsi="宋体"/>
                <w:sz w:val="24"/>
                <w:szCs w:val="24"/>
                <w:lang w:eastAsia="zh-CN"/>
              </w:rPr>
              <w:t>，</w:t>
            </w:r>
            <w:r>
              <w:rPr>
                <w:rFonts w:hint="eastAsia" w:ascii="宋体" w:hAnsi="宋体"/>
                <w:sz w:val="24"/>
                <w:szCs w:val="24"/>
              </w:rPr>
              <w:t>确保随时维修、维保，并在</w:t>
            </w:r>
            <w:r>
              <w:rPr>
                <w:rFonts w:hint="eastAsia" w:ascii="宋体" w:hAnsi="宋体"/>
                <w:sz w:val="24"/>
                <w:szCs w:val="24"/>
                <w:lang w:eastAsia="zh-CN"/>
              </w:rPr>
              <w:t>采购方</w:t>
            </w:r>
            <w:r>
              <w:rPr>
                <w:rFonts w:hint="eastAsia" w:ascii="宋体" w:hAnsi="宋体"/>
                <w:sz w:val="24"/>
                <w:szCs w:val="24"/>
              </w:rPr>
              <w:t>指定地点填写签到表</w:t>
            </w:r>
            <w:r>
              <w:rPr>
                <w:rFonts w:hint="eastAsia" w:ascii="宋体" w:hAnsi="宋体"/>
                <w:sz w:val="24"/>
                <w:szCs w:val="24"/>
                <w:lang w:eastAsia="zh-CN"/>
              </w:rPr>
              <w:t>。</w:t>
            </w:r>
            <w:r>
              <w:rPr>
                <w:rFonts w:hint="eastAsia" w:ascii="宋体" w:hAnsi="宋体"/>
                <w:sz w:val="24"/>
                <w:szCs w:val="24"/>
                <w:lang w:val="en-US" w:eastAsia="zh-CN"/>
              </w:rPr>
              <w:t>值班时间以外需紧急抢修的，</w:t>
            </w:r>
            <w:r>
              <w:rPr>
                <w:rFonts w:hint="eastAsia" w:ascii="宋体" w:hAnsi="宋体"/>
                <w:sz w:val="24"/>
                <w:szCs w:val="24"/>
                <w:lang w:eastAsia="zh-CN"/>
              </w:rPr>
              <w:t>中标方</w:t>
            </w:r>
            <w:r>
              <w:rPr>
                <w:rFonts w:hint="eastAsia" w:ascii="宋体" w:hAnsi="宋体"/>
                <w:sz w:val="24"/>
                <w:szCs w:val="24"/>
              </w:rPr>
              <w:t>必须确保维保工作人员24小时</w:t>
            </w:r>
            <w:r>
              <w:rPr>
                <w:rFonts w:hint="eastAsia" w:ascii="宋体" w:hAnsi="宋体"/>
                <w:sz w:val="24"/>
                <w:szCs w:val="24"/>
                <w:lang w:val="en-US" w:eastAsia="zh-CN"/>
              </w:rPr>
              <w:t>随叫随到</w:t>
            </w:r>
            <w:r>
              <w:rPr>
                <w:rFonts w:hint="eastAsia" w:ascii="宋体" w:hAnsi="宋体"/>
                <w:sz w:val="24"/>
                <w:szCs w:val="24"/>
              </w:rPr>
              <w:t>。</w:t>
            </w:r>
          </w:p>
          <w:p w14:paraId="681D353F">
            <w:pPr>
              <w:numPr>
                <w:ilvl w:val="0"/>
                <w:numId w:val="1"/>
              </w:numPr>
              <w:spacing w:line="480" w:lineRule="exact"/>
              <w:ind w:left="0" w:leftChars="0" w:firstLine="0" w:firstLineChars="0"/>
              <w:rPr>
                <w:rFonts w:hint="eastAsia"/>
              </w:rPr>
            </w:pPr>
            <w:r>
              <w:rPr>
                <w:rFonts w:hint="eastAsia" w:ascii="宋体" w:hAnsi="宋体"/>
                <w:sz w:val="24"/>
                <w:szCs w:val="24"/>
                <w:lang w:eastAsia="zh-CN"/>
              </w:rPr>
              <w:t>完善监控电路图</w:t>
            </w:r>
            <w:r>
              <w:rPr>
                <w:rFonts w:hint="eastAsia" w:ascii="宋体" w:hAnsi="宋体"/>
                <w:sz w:val="24"/>
                <w:szCs w:val="24"/>
              </w:rPr>
              <w:t>:</w:t>
            </w:r>
            <w:r>
              <w:rPr>
                <w:rFonts w:hint="eastAsia" w:ascii="宋体" w:hAnsi="宋体"/>
                <w:sz w:val="24"/>
                <w:szCs w:val="24"/>
                <w:lang w:val="en-US" w:eastAsia="zh-CN"/>
              </w:rPr>
              <w:t>中标方</w:t>
            </w:r>
            <w:r>
              <w:rPr>
                <w:rFonts w:hint="eastAsia" w:ascii="宋体" w:hAnsi="宋体"/>
                <w:sz w:val="24"/>
                <w:szCs w:val="24"/>
                <w:lang w:eastAsia="zh-CN"/>
              </w:rPr>
              <w:t>进</w:t>
            </w:r>
            <w:r>
              <w:rPr>
                <w:rFonts w:hint="eastAsia" w:ascii="宋体" w:hAnsi="宋体"/>
                <w:sz w:val="24"/>
                <w:szCs w:val="24"/>
                <w:lang w:val="en-US" w:eastAsia="zh-CN"/>
              </w:rPr>
              <w:t>场</w:t>
            </w:r>
            <w:r>
              <w:rPr>
                <w:rFonts w:hint="eastAsia" w:ascii="宋体" w:hAnsi="宋体"/>
                <w:sz w:val="24"/>
                <w:szCs w:val="24"/>
                <w:lang w:eastAsia="zh-CN"/>
              </w:rPr>
              <w:t>后</w:t>
            </w:r>
            <w:r>
              <w:rPr>
                <w:rFonts w:hint="eastAsia" w:ascii="宋体" w:hAnsi="宋体"/>
                <w:sz w:val="24"/>
                <w:szCs w:val="24"/>
                <w:lang w:val="en-US" w:eastAsia="zh-CN"/>
              </w:rPr>
              <w:t>180天之内须将“</w:t>
            </w:r>
            <w:r>
              <w:rPr>
                <w:rFonts w:hint="eastAsia" w:ascii="宋体" w:hAnsi="宋体"/>
                <w:sz w:val="24"/>
                <w:szCs w:val="24"/>
              </w:rPr>
              <w:t>前湖北校区、前湖南校区、青山湖校区、东湖校区”</w:t>
            </w:r>
            <w:r>
              <w:rPr>
                <w:rFonts w:hint="eastAsia" w:ascii="宋体" w:hAnsi="宋体"/>
                <w:sz w:val="24"/>
                <w:szCs w:val="24"/>
                <w:lang w:eastAsia="zh-CN"/>
              </w:rPr>
              <w:t>安防监控电路图（摄像机线路图）交于采购方，线路应清晰显示安装位置、线路走向、连接方式等。</w:t>
            </w:r>
          </w:p>
          <w:p w14:paraId="3537BD54">
            <w:pPr>
              <w:numPr>
                <w:ilvl w:val="0"/>
                <w:numId w:val="1"/>
              </w:numPr>
              <w:spacing w:line="480" w:lineRule="exact"/>
              <w:ind w:left="0" w:leftChars="0" w:firstLine="0" w:firstLineChars="0"/>
              <w:rPr>
                <w:rFonts w:ascii="宋体" w:hAnsi="宋体"/>
                <w:sz w:val="24"/>
                <w:szCs w:val="24"/>
              </w:rPr>
            </w:pPr>
            <w:r>
              <w:rPr>
                <w:rFonts w:hint="eastAsia" w:ascii="宋体" w:hAnsi="宋体"/>
                <w:sz w:val="24"/>
                <w:szCs w:val="24"/>
              </w:rPr>
              <w:t>故障响应:接到</w:t>
            </w:r>
            <w:r>
              <w:rPr>
                <w:rFonts w:hint="eastAsia" w:ascii="宋体" w:hAnsi="宋体"/>
                <w:sz w:val="24"/>
                <w:szCs w:val="24"/>
                <w:lang w:eastAsia="zh-CN"/>
              </w:rPr>
              <w:t>采购方</w:t>
            </w:r>
            <w:r>
              <w:rPr>
                <w:rFonts w:hint="eastAsia" w:ascii="宋体" w:hAnsi="宋体"/>
                <w:sz w:val="24"/>
                <w:szCs w:val="24"/>
              </w:rPr>
              <w:t>电话或书面的维修单后要求在30分钟内进行响应，到达故障现场后需拍照确认。到达现场时间要求:前湖北校区30分钟:前湖南校区30分钟；青山湖校区东湖校区60分钟内到达故障现场。紧急情况下:前湖北校区、前湖南校区10分钟内到达故障现场，青山湖校区、东湖校区30分钟内到达故障现场。如确实不能按时到达故障现场，需向采购</w:t>
            </w:r>
            <w:r>
              <w:rPr>
                <w:rFonts w:hint="eastAsia" w:ascii="宋体" w:hAnsi="宋体"/>
                <w:sz w:val="24"/>
                <w:szCs w:val="24"/>
                <w:lang w:val="en-US" w:eastAsia="zh-CN"/>
              </w:rPr>
              <w:t>方</w:t>
            </w:r>
            <w:r>
              <w:rPr>
                <w:rFonts w:hint="eastAsia" w:ascii="宋体" w:hAnsi="宋体"/>
                <w:sz w:val="24"/>
                <w:szCs w:val="24"/>
              </w:rPr>
              <w:t>管理人员说明情况，由</w:t>
            </w:r>
            <w:r>
              <w:rPr>
                <w:rFonts w:hint="eastAsia" w:ascii="宋体" w:hAnsi="宋体"/>
                <w:sz w:val="24"/>
                <w:szCs w:val="24"/>
                <w:lang w:eastAsia="zh-CN"/>
              </w:rPr>
              <w:t>采购方</w:t>
            </w:r>
            <w:r>
              <w:rPr>
                <w:rFonts w:hint="eastAsia" w:ascii="宋体" w:hAnsi="宋体"/>
                <w:sz w:val="24"/>
                <w:szCs w:val="24"/>
              </w:rPr>
              <w:t>根据实际情况安排到达故障现场时间。</w:t>
            </w:r>
          </w:p>
          <w:p w14:paraId="6077BE10">
            <w:pPr>
              <w:numPr>
                <w:ilvl w:val="0"/>
                <w:numId w:val="1"/>
              </w:numPr>
              <w:spacing w:line="480" w:lineRule="exact"/>
              <w:ind w:left="0" w:leftChars="0" w:firstLine="0" w:firstLineChars="0"/>
              <w:rPr>
                <w:rFonts w:ascii="宋体" w:hAnsi="宋体"/>
                <w:sz w:val="24"/>
                <w:szCs w:val="24"/>
              </w:rPr>
            </w:pPr>
            <w:r>
              <w:rPr>
                <w:rFonts w:hint="eastAsia" w:ascii="宋体" w:hAnsi="宋体"/>
                <w:sz w:val="24"/>
                <w:szCs w:val="24"/>
              </w:rPr>
              <w:t>故障修复:前端设备2小时内修复，后端设备4小时内修复 ，重大事故 (8个以上摄像机不能正常工作) 24 小时内修复(以上时间均包括响应时间在内)，修复后报由采购</w:t>
            </w:r>
            <w:r>
              <w:rPr>
                <w:rFonts w:hint="eastAsia" w:ascii="宋体" w:hAnsi="宋体"/>
                <w:sz w:val="24"/>
                <w:szCs w:val="24"/>
                <w:lang w:val="en-US" w:eastAsia="zh-CN"/>
              </w:rPr>
              <w:t>方</w:t>
            </w:r>
            <w:r>
              <w:rPr>
                <w:rFonts w:hint="eastAsia" w:ascii="宋体" w:hAnsi="宋体"/>
                <w:sz w:val="24"/>
                <w:szCs w:val="24"/>
              </w:rPr>
              <w:t>管理人员确认，并填写维保日志进行登记。如因施工、事故、自然环境变化等客观原因无法及时修复的，</w:t>
            </w:r>
            <w:r>
              <w:rPr>
                <w:rFonts w:hint="eastAsia" w:ascii="宋体" w:hAnsi="宋体"/>
                <w:sz w:val="24"/>
                <w:szCs w:val="24"/>
                <w:lang w:eastAsia="zh-CN"/>
              </w:rPr>
              <w:t>中标方</w:t>
            </w:r>
            <w:r>
              <w:rPr>
                <w:rFonts w:hint="eastAsia" w:ascii="宋体" w:hAnsi="宋体"/>
                <w:sz w:val="24"/>
                <w:szCs w:val="24"/>
              </w:rPr>
              <w:t>需自行寻求解决方式尽快修复，并向</w:t>
            </w:r>
            <w:r>
              <w:rPr>
                <w:rFonts w:hint="eastAsia" w:ascii="宋体" w:hAnsi="宋体"/>
                <w:sz w:val="24"/>
                <w:szCs w:val="24"/>
                <w:lang w:eastAsia="zh-CN"/>
              </w:rPr>
              <w:t>采购方</w:t>
            </w:r>
            <w:r>
              <w:rPr>
                <w:rFonts w:hint="eastAsia" w:ascii="宋体" w:hAnsi="宋体"/>
                <w:sz w:val="24"/>
                <w:szCs w:val="24"/>
              </w:rPr>
              <w:t>报告预计修复时间，由</w:t>
            </w:r>
            <w:r>
              <w:rPr>
                <w:rFonts w:hint="eastAsia" w:ascii="宋体" w:hAnsi="宋体"/>
                <w:sz w:val="24"/>
                <w:szCs w:val="24"/>
                <w:lang w:eastAsia="zh-CN"/>
              </w:rPr>
              <w:t>采购方</w:t>
            </w:r>
            <w:r>
              <w:rPr>
                <w:rFonts w:hint="eastAsia" w:ascii="宋体" w:hAnsi="宋体"/>
                <w:sz w:val="24"/>
                <w:szCs w:val="24"/>
              </w:rPr>
              <w:t>确认。确实无法自行解决的，可报采购</w:t>
            </w:r>
            <w:r>
              <w:rPr>
                <w:rFonts w:hint="eastAsia" w:ascii="宋体" w:hAnsi="宋体"/>
                <w:sz w:val="24"/>
                <w:szCs w:val="24"/>
                <w:lang w:val="en-US" w:eastAsia="zh-CN"/>
              </w:rPr>
              <w:t>方</w:t>
            </w:r>
            <w:r>
              <w:rPr>
                <w:rFonts w:hint="eastAsia" w:ascii="宋体" w:hAnsi="宋体"/>
                <w:sz w:val="24"/>
                <w:szCs w:val="24"/>
              </w:rPr>
              <w:t>管理人员，经协调后，由</w:t>
            </w:r>
            <w:r>
              <w:rPr>
                <w:rFonts w:hint="eastAsia" w:ascii="宋体" w:hAnsi="宋体"/>
                <w:sz w:val="24"/>
                <w:szCs w:val="24"/>
                <w:lang w:eastAsia="zh-CN"/>
              </w:rPr>
              <w:t>中标方</w:t>
            </w:r>
            <w:r>
              <w:rPr>
                <w:rFonts w:hint="eastAsia" w:ascii="宋体" w:hAnsi="宋体"/>
                <w:sz w:val="24"/>
                <w:szCs w:val="24"/>
              </w:rPr>
              <w:t>及时修复，修复时间要求由</w:t>
            </w:r>
            <w:r>
              <w:rPr>
                <w:rFonts w:hint="eastAsia" w:ascii="宋体" w:hAnsi="宋体"/>
                <w:sz w:val="24"/>
                <w:szCs w:val="24"/>
                <w:lang w:eastAsia="zh-CN"/>
              </w:rPr>
              <w:t>采购方</w:t>
            </w:r>
            <w:r>
              <w:rPr>
                <w:rFonts w:hint="eastAsia" w:ascii="宋体" w:hAnsi="宋体"/>
                <w:sz w:val="24"/>
                <w:szCs w:val="24"/>
              </w:rPr>
              <w:t>跟据实际情况确定。完成后需填写维保日志。未</w:t>
            </w:r>
            <w:r>
              <w:rPr>
                <w:rFonts w:hint="eastAsia"/>
                <w:sz w:val="24"/>
              </w:rPr>
              <w:t>报</w:t>
            </w:r>
            <w:r>
              <w:rPr>
                <w:rFonts w:hint="eastAsia" w:ascii="宋体" w:hAnsi="宋体"/>
                <w:sz w:val="24"/>
                <w:lang w:eastAsia="zh-CN"/>
              </w:rPr>
              <w:t>采购方</w:t>
            </w:r>
            <w:r>
              <w:rPr>
                <w:rFonts w:hint="eastAsia"/>
                <w:sz w:val="24"/>
              </w:rPr>
              <w:t>确认的，视为未及时修复，每次未及时修复记一次违约。</w:t>
            </w:r>
          </w:p>
          <w:p w14:paraId="21531BBE">
            <w:pPr>
              <w:numPr>
                <w:ilvl w:val="0"/>
                <w:numId w:val="1"/>
              </w:numPr>
              <w:spacing w:line="480" w:lineRule="exact"/>
              <w:ind w:left="0" w:leftChars="0" w:firstLine="0" w:firstLineChars="0"/>
              <w:rPr>
                <w:rFonts w:hint="eastAsia"/>
                <w:color w:val="auto"/>
              </w:rPr>
            </w:pPr>
            <w:r>
              <w:rPr>
                <w:rFonts w:hint="eastAsia" w:ascii="宋体" w:hAnsi="宋体"/>
                <w:color w:val="auto"/>
                <w:sz w:val="24"/>
                <w:szCs w:val="24"/>
              </w:rPr>
              <w:t>设备更换: 在故障现场不能修复或遗失的设备(含硬盘录像机、摄像机、硬盘、交换机、显示器、摄像机电源、线缆、接头、支架、辅助材料</w:t>
            </w:r>
            <w:r>
              <w:rPr>
                <w:rFonts w:hint="eastAsia" w:ascii="宋体" w:hAnsi="宋体"/>
                <w:color w:val="auto"/>
                <w:sz w:val="24"/>
                <w:szCs w:val="24"/>
                <w:lang w:eastAsia="zh-CN"/>
              </w:rPr>
              <w:t>、</w:t>
            </w:r>
            <w:r>
              <w:rPr>
                <w:rFonts w:hint="eastAsia" w:ascii="宋体" w:hAnsi="宋体"/>
                <w:color w:val="auto"/>
                <w:sz w:val="24"/>
                <w:szCs w:val="24"/>
                <w:lang w:val="en-US" w:eastAsia="zh-CN"/>
              </w:rPr>
              <w:t>车辆卡口抓拍机、单车道超速雷达、补光灯、路口终端服务器、测速提示牌、双目活体人脸机，身份证读卡器，通道闸机主控制板，通道闸机电机离合器总成，通道闸机电机驱动板，红外控制板，红外传感器，不锈钢挡板，无线遥控器</w:t>
            </w:r>
            <w:r>
              <w:rPr>
                <w:rFonts w:hint="eastAsia" w:ascii="宋体" w:hAnsi="宋体"/>
                <w:color w:val="auto"/>
                <w:sz w:val="24"/>
                <w:szCs w:val="24"/>
              </w:rPr>
              <w:t>等)，</w:t>
            </w:r>
            <w:r>
              <w:rPr>
                <w:rFonts w:hint="eastAsia" w:ascii="宋体" w:hAnsi="宋体" w:cs="宋体"/>
                <w:color w:val="auto"/>
                <w:sz w:val="24"/>
              </w:rPr>
              <w:t>由</w:t>
            </w:r>
            <w:r>
              <w:rPr>
                <w:rFonts w:hint="eastAsia" w:ascii="宋体" w:hAnsi="宋体" w:cs="宋体"/>
                <w:color w:val="auto"/>
                <w:sz w:val="24"/>
                <w:lang w:eastAsia="zh-CN"/>
              </w:rPr>
              <w:t>中标方</w:t>
            </w:r>
            <w:r>
              <w:rPr>
                <w:rFonts w:hint="eastAsia" w:ascii="宋体" w:hAnsi="宋体" w:cs="宋体"/>
                <w:color w:val="auto"/>
                <w:sz w:val="24"/>
              </w:rPr>
              <w:t>提供设备更换，</w:t>
            </w:r>
            <w:r>
              <w:rPr>
                <w:rFonts w:hint="eastAsia" w:ascii="宋体" w:hAnsi="宋体" w:cs="宋体"/>
                <w:color w:val="auto"/>
                <w:sz w:val="24"/>
                <w:lang w:val="en-US" w:eastAsia="zh-CN"/>
              </w:rPr>
              <w:t>以恢复设备正常运转，</w:t>
            </w:r>
            <w:r>
              <w:rPr>
                <w:rFonts w:hint="eastAsia" w:ascii="宋体" w:hAnsi="宋体" w:cs="宋体"/>
                <w:b w:val="0"/>
                <w:bCs w:val="0"/>
                <w:color w:val="auto"/>
                <w:sz w:val="24"/>
                <w:lang w:val="en-US" w:eastAsia="zh-CN"/>
              </w:rPr>
              <w:t>并</w:t>
            </w:r>
            <w:r>
              <w:rPr>
                <w:rFonts w:hint="eastAsia" w:ascii="宋体" w:hAnsi="宋体" w:cs="宋体"/>
                <w:color w:val="auto"/>
                <w:sz w:val="24"/>
              </w:rPr>
              <w:t>向</w:t>
            </w:r>
            <w:r>
              <w:rPr>
                <w:rFonts w:hint="eastAsia" w:ascii="宋体" w:hAnsi="宋体" w:cs="宋体"/>
                <w:color w:val="auto"/>
                <w:sz w:val="24"/>
                <w:lang w:eastAsia="zh-CN"/>
              </w:rPr>
              <w:t>采购方</w:t>
            </w:r>
            <w:r>
              <w:rPr>
                <w:rFonts w:hint="eastAsia" w:ascii="宋体" w:hAnsi="宋体" w:cs="宋体"/>
                <w:color w:val="auto"/>
                <w:sz w:val="24"/>
              </w:rPr>
              <w:t>告知更换时间</w:t>
            </w:r>
            <w:r>
              <w:rPr>
                <w:rFonts w:hint="eastAsia" w:ascii="宋体" w:hAnsi="宋体" w:cs="宋体"/>
                <w:b/>
                <w:bCs/>
                <w:color w:val="auto"/>
                <w:sz w:val="24"/>
              </w:rPr>
              <w:t>。</w:t>
            </w:r>
            <w:r>
              <w:rPr>
                <w:rFonts w:hint="eastAsia" w:ascii="宋体" w:hAnsi="宋体" w:cs="宋体"/>
                <w:b/>
                <w:bCs/>
                <w:color w:val="auto"/>
                <w:sz w:val="24"/>
                <w:lang w:val="en-US" w:eastAsia="zh-CN"/>
              </w:rPr>
              <w:t>更换设备名称、参数、价格参照下表1，更换设备费用标准按照维保内容“全年服务设备”条目执行，</w:t>
            </w:r>
            <w:r>
              <w:rPr>
                <w:rFonts w:hint="eastAsia"/>
                <w:b/>
                <w:bCs/>
                <w:color w:val="auto"/>
                <w:sz w:val="24"/>
                <w:szCs w:val="24"/>
              </w:rPr>
              <w:t>每次</w:t>
            </w:r>
            <w:r>
              <w:rPr>
                <w:rFonts w:hint="eastAsia"/>
                <w:b/>
                <w:bCs/>
                <w:color w:val="auto"/>
                <w:sz w:val="24"/>
                <w:szCs w:val="24"/>
                <w:lang w:val="en-US" w:eastAsia="zh-CN"/>
              </w:rPr>
              <w:t>更换须报</w:t>
            </w:r>
            <w:r>
              <w:rPr>
                <w:rFonts w:hint="eastAsia"/>
                <w:b/>
                <w:bCs/>
                <w:color w:val="auto"/>
                <w:sz w:val="24"/>
                <w:szCs w:val="24"/>
              </w:rPr>
              <w:t>采购方管理人员</w:t>
            </w:r>
            <w:r>
              <w:rPr>
                <w:rFonts w:hint="eastAsia"/>
                <w:b/>
                <w:bCs/>
                <w:color w:val="auto"/>
                <w:sz w:val="24"/>
                <w:szCs w:val="24"/>
                <w:lang w:val="en-US" w:eastAsia="zh-CN"/>
              </w:rPr>
              <w:t>确认，经采购方同意后方可进行更换</w:t>
            </w:r>
            <w:r>
              <w:rPr>
                <w:rFonts w:hint="eastAsia" w:ascii="宋体" w:hAnsi="宋体" w:cs="宋体"/>
                <w:b/>
                <w:bCs/>
                <w:color w:val="auto"/>
                <w:sz w:val="24"/>
                <w:lang w:val="en-US" w:eastAsia="zh-CN"/>
              </w:rPr>
              <w:t>。</w:t>
            </w:r>
            <w:r>
              <w:rPr>
                <w:rFonts w:hint="eastAsia" w:ascii="宋体" w:hAnsi="宋体" w:cs="宋体"/>
                <w:color w:val="auto"/>
                <w:sz w:val="24"/>
              </w:rPr>
              <w:t>未按</w:t>
            </w:r>
            <w:r>
              <w:rPr>
                <w:rFonts w:hint="eastAsia" w:ascii="宋体" w:hAnsi="宋体" w:cs="宋体"/>
                <w:color w:val="auto"/>
                <w:sz w:val="24"/>
                <w:lang w:eastAsia="zh-CN"/>
              </w:rPr>
              <w:t>采购方</w:t>
            </w:r>
            <w:r>
              <w:rPr>
                <w:rFonts w:hint="eastAsia" w:ascii="宋体" w:hAnsi="宋体" w:cs="宋体"/>
                <w:color w:val="auto"/>
                <w:sz w:val="24"/>
              </w:rPr>
              <w:t>要求完成的，每次记一次违约。同时</w:t>
            </w:r>
            <w:r>
              <w:rPr>
                <w:rFonts w:hint="eastAsia" w:ascii="宋体" w:hAnsi="宋体" w:cs="宋体"/>
                <w:color w:val="auto"/>
                <w:sz w:val="24"/>
                <w:lang w:eastAsia="zh-CN"/>
              </w:rPr>
              <w:t>中标方</w:t>
            </w:r>
            <w:r>
              <w:rPr>
                <w:rFonts w:hint="eastAsia" w:ascii="宋体" w:hAnsi="宋体" w:cs="宋体"/>
                <w:color w:val="auto"/>
                <w:sz w:val="24"/>
              </w:rPr>
              <w:t>提供的设备质量不能低于原设备质量，</w:t>
            </w:r>
            <w:r>
              <w:rPr>
                <w:rFonts w:hint="eastAsia" w:ascii="宋体" w:hAnsi="宋体" w:cs="宋体"/>
                <w:color w:val="auto"/>
                <w:sz w:val="24"/>
                <w:lang w:eastAsia="zh-CN"/>
              </w:rPr>
              <w:t>中标方</w:t>
            </w:r>
            <w:r>
              <w:rPr>
                <w:rFonts w:hint="eastAsia" w:ascii="宋体" w:hAnsi="宋体" w:cs="宋体"/>
                <w:color w:val="auto"/>
                <w:sz w:val="24"/>
              </w:rPr>
              <w:t>提供的设备质量低于原设备质量的，</w:t>
            </w:r>
            <w:r>
              <w:rPr>
                <w:rFonts w:hint="eastAsia" w:ascii="宋体" w:hAnsi="宋体" w:cs="宋体"/>
                <w:color w:val="auto"/>
                <w:sz w:val="24"/>
                <w:lang w:eastAsia="zh-CN"/>
              </w:rPr>
              <w:t>中标方</w:t>
            </w:r>
            <w:r>
              <w:rPr>
                <w:rFonts w:hint="eastAsia" w:ascii="宋体" w:hAnsi="宋体" w:cs="宋体"/>
                <w:color w:val="auto"/>
                <w:sz w:val="24"/>
              </w:rPr>
              <w:t>须按原设备价格3倍赔偿甲方，替换设备低于原设备质量超过3次的，视为</w:t>
            </w:r>
            <w:r>
              <w:rPr>
                <w:rFonts w:hint="eastAsia" w:ascii="宋体" w:hAnsi="宋体" w:cs="宋体"/>
                <w:color w:val="auto"/>
                <w:sz w:val="24"/>
                <w:lang w:eastAsia="zh-CN"/>
              </w:rPr>
              <w:t>中标方</w:t>
            </w:r>
            <w:r>
              <w:rPr>
                <w:rFonts w:hint="eastAsia" w:ascii="宋体" w:hAnsi="宋体" w:cs="宋体"/>
                <w:color w:val="auto"/>
                <w:sz w:val="24"/>
              </w:rPr>
              <w:t>违约，甲方有权中止双方签订的相关协议及合同，并追究</w:t>
            </w:r>
            <w:r>
              <w:rPr>
                <w:rFonts w:hint="eastAsia" w:ascii="宋体" w:hAnsi="宋体" w:cs="宋体"/>
                <w:color w:val="auto"/>
                <w:sz w:val="24"/>
                <w:lang w:eastAsia="zh-CN"/>
              </w:rPr>
              <w:t>中标方</w:t>
            </w:r>
            <w:r>
              <w:rPr>
                <w:rFonts w:hint="eastAsia" w:ascii="宋体" w:hAnsi="宋体" w:cs="宋体"/>
                <w:color w:val="auto"/>
                <w:sz w:val="24"/>
              </w:rPr>
              <w:t>的</w:t>
            </w:r>
            <w:r>
              <w:rPr>
                <w:rFonts w:hint="eastAsia" w:ascii="宋体" w:hAnsi="宋体" w:cs="宋体"/>
                <w:color w:val="auto"/>
                <w:sz w:val="24"/>
                <w:lang w:val="en-US" w:eastAsia="zh-CN"/>
              </w:rPr>
              <w:t>违约责任</w:t>
            </w:r>
            <w:r>
              <w:rPr>
                <w:rFonts w:hint="eastAsia" w:ascii="宋体" w:hAnsi="宋体" w:cs="宋体"/>
                <w:color w:val="auto"/>
                <w:sz w:val="24"/>
              </w:rPr>
              <w:t>。</w:t>
            </w:r>
          </w:p>
          <w:p w14:paraId="1D54EA06">
            <w:pPr>
              <w:numPr>
                <w:ilvl w:val="0"/>
                <w:numId w:val="1"/>
              </w:numPr>
              <w:spacing w:line="480" w:lineRule="exact"/>
              <w:ind w:left="0" w:leftChars="0" w:firstLine="0" w:firstLineChars="0"/>
              <w:rPr>
                <w:rFonts w:ascii="宋体" w:hAnsi="宋体"/>
                <w:sz w:val="24"/>
                <w:szCs w:val="24"/>
              </w:rPr>
            </w:pPr>
            <w:r>
              <w:rPr>
                <w:rFonts w:hint="eastAsia" w:ascii="宋体" w:hAnsi="宋体"/>
                <w:sz w:val="24"/>
                <w:szCs w:val="24"/>
              </w:rPr>
              <w:t>每月考核：</w:t>
            </w:r>
            <w:r>
              <w:rPr>
                <w:rFonts w:hint="eastAsia" w:ascii="宋体" w:hAnsi="宋体"/>
                <w:sz w:val="24"/>
                <w:szCs w:val="24"/>
                <w:lang w:eastAsia="zh-CN"/>
              </w:rPr>
              <w:t>采购方</w:t>
            </w:r>
            <w:r>
              <w:rPr>
                <w:rFonts w:hint="eastAsia" w:ascii="宋体" w:hAnsi="宋体"/>
                <w:sz w:val="24"/>
                <w:szCs w:val="24"/>
              </w:rPr>
              <w:t>每月对全校所有监控点位在线率进行考核，要求在线率不低于98%。如未达到98%，按以下方式计算违约点位：违约点位数=（全校监控点位总数*98%）-考核时实际在线数。</w:t>
            </w:r>
            <w:r>
              <w:rPr>
                <w:rFonts w:hint="eastAsia" w:ascii="宋体" w:hAnsi="宋体"/>
                <w:sz w:val="24"/>
              </w:rPr>
              <w:t>未按</w:t>
            </w:r>
            <w:r>
              <w:rPr>
                <w:rFonts w:hint="eastAsia" w:ascii="宋体" w:hAnsi="宋体"/>
                <w:sz w:val="24"/>
                <w:lang w:eastAsia="zh-CN"/>
              </w:rPr>
              <w:t>采购方</w:t>
            </w:r>
            <w:r>
              <w:rPr>
                <w:rFonts w:hint="eastAsia" w:ascii="宋体" w:hAnsi="宋体"/>
                <w:sz w:val="24"/>
              </w:rPr>
              <w:t>要求完成，每个违约点位须向甲</w:t>
            </w:r>
            <w:r>
              <w:rPr>
                <w:rFonts w:hint="eastAsia" w:ascii="宋体" w:hAnsi="宋体"/>
                <w:sz w:val="24"/>
                <w:lang w:eastAsia="zh-CN"/>
              </w:rPr>
              <w:t>采购方</w:t>
            </w:r>
            <w:r>
              <w:rPr>
                <w:rFonts w:hint="eastAsia" w:ascii="宋体" w:hAnsi="宋体"/>
                <w:sz w:val="24"/>
              </w:rPr>
              <w:t>支付违约金100元。</w:t>
            </w:r>
          </w:p>
          <w:p w14:paraId="75686B7E">
            <w:pPr>
              <w:numPr>
                <w:ilvl w:val="0"/>
                <w:numId w:val="1"/>
              </w:numPr>
              <w:spacing w:line="480" w:lineRule="exact"/>
              <w:ind w:left="0" w:leftChars="0" w:firstLine="0" w:firstLineChars="0"/>
              <w:rPr>
                <w:rFonts w:ascii="宋体" w:hAnsi="宋体"/>
                <w:sz w:val="24"/>
                <w:szCs w:val="24"/>
              </w:rPr>
            </w:pPr>
            <w:r>
              <w:rPr>
                <w:rFonts w:hint="eastAsia" w:ascii="宋体" w:hAnsi="宋体"/>
                <w:sz w:val="24"/>
                <w:szCs w:val="24"/>
              </w:rPr>
              <w:t>系统巡查:</w:t>
            </w:r>
            <w:r>
              <w:rPr>
                <w:rFonts w:hint="eastAsia" w:ascii="宋体" w:hAnsi="宋体"/>
                <w:sz w:val="24"/>
                <w:szCs w:val="24"/>
                <w:lang w:eastAsia="zh-CN"/>
              </w:rPr>
              <w:t>中标方</w:t>
            </w:r>
            <w:r>
              <w:rPr>
                <w:rFonts w:hint="eastAsia" w:ascii="宋体" w:hAnsi="宋体"/>
                <w:sz w:val="24"/>
                <w:szCs w:val="24"/>
              </w:rPr>
              <w:t>须派专业人员对上述维保范围每周不低于一次进行巡查，并在维保日志内填写巡查记录，作为考核维保工作的依据。</w:t>
            </w:r>
            <w:r>
              <w:rPr>
                <w:rFonts w:hint="eastAsia" w:ascii="宋体" w:hAnsi="宋体"/>
                <w:sz w:val="24"/>
              </w:rPr>
              <w:t>未按</w:t>
            </w:r>
            <w:r>
              <w:rPr>
                <w:rFonts w:hint="eastAsia" w:ascii="宋体" w:hAnsi="宋体"/>
                <w:sz w:val="24"/>
                <w:lang w:eastAsia="zh-CN"/>
              </w:rPr>
              <w:t>采购方</w:t>
            </w:r>
            <w:r>
              <w:rPr>
                <w:rFonts w:hint="eastAsia" w:ascii="宋体" w:hAnsi="宋体"/>
                <w:sz w:val="24"/>
              </w:rPr>
              <w:t>要求完成，每</w:t>
            </w:r>
            <w:r>
              <w:rPr>
                <w:rFonts w:hint="eastAsia" w:ascii="宋体" w:hAnsi="宋体"/>
                <w:sz w:val="24"/>
                <w:lang w:val="en-US" w:eastAsia="zh-CN"/>
              </w:rPr>
              <w:t>缺一</w:t>
            </w:r>
            <w:r>
              <w:rPr>
                <w:rFonts w:hint="eastAsia" w:ascii="宋体" w:hAnsi="宋体"/>
                <w:sz w:val="24"/>
              </w:rPr>
              <w:t>次记一次违约。</w:t>
            </w:r>
          </w:p>
          <w:p w14:paraId="732F1CCD">
            <w:pPr>
              <w:numPr>
                <w:ilvl w:val="0"/>
                <w:numId w:val="1"/>
              </w:numPr>
              <w:spacing w:line="480" w:lineRule="exact"/>
              <w:ind w:left="0" w:leftChars="0" w:firstLine="0" w:firstLineChars="0"/>
              <w:rPr>
                <w:rFonts w:ascii="宋体" w:hAnsi="宋体"/>
                <w:color w:val="auto"/>
                <w:sz w:val="24"/>
                <w:szCs w:val="24"/>
              </w:rPr>
            </w:pPr>
            <w:r>
              <w:rPr>
                <w:rFonts w:hint="eastAsia" w:ascii="宋体" w:hAnsi="宋体"/>
                <w:color w:val="auto"/>
                <w:sz w:val="24"/>
                <w:szCs w:val="24"/>
              </w:rPr>
              <w:t>摄像机保养:</w:t>
            </w:r>
            <w:r>
              <w:rPr>
                <w:rFonts w:hint="eastAsia" w:ascii="宋体" w:hAnsi="宋体"/>
                <w:color w:val="auto"/>
                <w:sz w:val="24"/>
                <w:szCs w:val="24"/>
                <w:lang w:eastAsia="zh-CN"/>
              </w:rPr>
              <w:t>中标方</w:t>
            </w:r>
            <w:r>
              <w:rPr>
                <w:rFonts w:hint="eastAsia" w:ascii="宋体" w:hAnsi="宋体"/>
                <w:color w:val="auto"/>
                <w:sz w:val="24"/>
                <w:szCs w:val="24"/>
              </w:rPr>
              <w:t>每月一次对摄像机表面进行清洁、除垢</w:t>
            </w:r>
            <w:r>
              <w:rPr>
                <w:rFonts w:hint="eastAsia" w:ascii="宋体" w:hAnsi="宋体"/>
                <w:color w:val="auto"/>
                <w:sz w:val="24"/>
                <w:szCs w:val="24"/>
                <w:lang w:eastAsia="zh-CN"/>
              </w:rPr>
              <w:t>，</w:t>
            </w:r>
            <w:r>
              <w:rPr>
                <w:rFonts w:hint="eastAsia" w:ascii="宋体" w:hAnsi="宋体"/>
                <w:color w:val="auto"/>
                <w:sz w:val="24"/>
                <w:szCs w:val="24"/>
              </w:rPr>
              <w:t>每两周一次对遮拦“视线”的物体进行清除、每两周一次对角度出现明显偏差的摄像机进行调整。</w:t>
            </w:r>
            <w:r>
              <w:rPr>
                <w:rFonts w:hint="eastAsia" w:ascii="宋体" w:hAnsi="宋体"/>
                <w:color w:val="auto"/>
                <w:sz w:val="24"/>
                <w:szCs w:val="24"/>
                <w:lang w:val="en-US" w:eastAsia="zh-CN"/>
              </w:rPr>
              <w:t>采购方有特殊要求的，须按采购方实际要求完成。</w:t>
            </w:r>
            <w:r>
              <w:rPr>
                <w:rFonts w:hint="eastAsia" w:ascii="宋体" w:hAnsi="宋体"/>
                <w:color w:val="auto"/>
                <w:sz w:val="24"/>
                <w:szCs w:val="24"/>
              </w:rPr>
              <w:t>如因施工、事故、自然环境变化等客观原因无法及时修复的，</w:t>
            </w:r>
            <w:r>
              <w:rPr>
                <w:rFonts w:hint="eastAsia" w:ascii="宋体" w:hAnsi="宋体"/>
                <w:color w:val="auto"/>
                <w:sz w:val="24"/>
                <w:szCs w:val="24"/>
                <w:lang w:eastAsia="zh-CN"/>
              </w:rPr>
              <w:t>中标方</w:t>
            </w:r>
            <w:r>
              <w:rPr>
                <w:rFonts w:hint="eastAsia" w:ascii="宋体" w:hAnsi="宋体"/>
                <w:color w:val="auto"/>
                <w:sz w:val="24"/>
                <w:szCs w:val="24"/>
              </w:rPr>
              <w:t>需自行寻求解决方式尽快处理，并向</w:t>
            </w:r>
            <w:r>
              <w:rPr>
                <w:rFonts w:hint="eastAsia" w:ascii="宋体" w:hAnsi="宋体"/>
                <w:color w:val="auto"/>
                <w:sz w:val="24"/>
                <w:szCs w:val="24"/>
                <w:lang w:eastAsia="zh-CN"/>
              </w:rPr>
              <w:t>采购方</w:t>
            </w:r>
            <w:r>
              <w:rPr>
                <w:rFonts w:hint="eastAsia" w:ascii="宋体" w:hAnsi="宋体"/>
                <w:color w:val="auto"/>
                <w:sz w:val="24"/>
                <w:szCs w:val="24"/>
              </w:rPr>
              <w:t>报告预计完成时间，由</w:t>
            </w:r>
            <w:r>
              <w:rPr>
                <w:rFonts w:hint="eastAsia" w:ascii="宋体" w:hAnsi="宋体"/>
                <w:color w:val="auto"/>
                <w:sz w:val="24"/>
                <w:szCs w:val="24"/>
                <w:lang w:eastAsia="zh-CN"/>
              </w:rPr>
              <w:t>采购方</w:t>
            </w:r>
            <w:r>
              <w:rPr>
                <w:rFonts w:hint="eastAsia" w:ascii="宋体" w:hAnsi="宋体"/>
                <w:color w:val="auto"/>
                <w:sz w:val="24"/>
                <w:szCs w:val="24"/>
              </w:rPr>
              <w:t>确认。确实无法自行解决的，经</w:t>
            </w:r>
            <w:r>
              <w:rPr>
                <w:rFonts w:hint="eastAsia" w:ascii="宋体" w:hAnsi="宋体"/>
                <w:color w:val="auto"/>
                <w:sz w:val="24"/>
                <w:szCs w:val="24"/>
                <w:lang w:val="en-US" w:eastAsia="zh-CN"/>
              </w:rPr>
              <w:t>双方</w:t>
            </w:r>
            <w:r>
              <w:rPr>
                <w:rFonts w:hint="eastAsia" w:ascii="宋体" w:hAnsi="宋体"/>
                <w:color w:val="auto"/>
                <w:sz w:val="24"/>
                <w:szCs w:val="24"/>
              </w:rPr>
              <w:t>协调后，由</w:t>
            </w:r>
            <w:r>
              <w:rPr>
                <w:rFonts w:hint="eastAsia" w:ascii="宋体" w:hAnsi="宋体"/>
                <w:color w:val="auto"/>
                <w:sz w:val="24"/>
                <w:szCs w:val="24"/>
                <w:lang w:eastAsia="zh-CN"/>
              </w:rPr>
              <w:t>中标方</w:t>
            </w:r>
            <w:r>
              <w:rPr>
                <w:rFonts w:hint="eastAsia" w:ascii="宋体" w:hAnsi="宋体"/>
                <w:color w:val="auto"/>
                <w:sz w:val="24"/>
                <w:szCs w:val="24"/>
              </w:rPr>
              <w:t>及时处理，完成时间要求由</w:t>
            </w:r>
            <w:r>
              <w:rPr>
                <w:rFonts w:hint="eastAsia" w:ascii="宋体" w:hAnsi="宋体"/>
                <w:color w:val="auto"/>
                <w:sz w:val="24"/>
                <w:szCs w:val="24"/>
                <w:lang w:eastAsia="zh-CN"/>
              </w:rPr>
              <w:t>采购方</w:t>
            </w:r>
            <w:r>
              <w:rPr>
                <w:rFonts w:hint="eastAsia" w:ascii="宋体" w:hAnsi="宋体"/>
                <w:color w:val="auto"/>
                <w:sz w:val="24"/>
                <w:szCs w:val="24"/>
              </w:rPr>
              <w:t>跟据实际情况确定。完成后需填写维保日志。未按</w:t>
            </w:r>
            <w:r>
              <w:rPr>
                <w:rFonts w:hint="eastAsia" w:ascii="宋体" w:hAnsi="宋体"/>
                <w:color w:val="auto"/>
                <w:sz w:val="24"/>
                <w:szCs w:val="24"/>
                <w:lang w:eastAsia="zh-CN"/>
              </w:rPr>
              <w:t>采购方</w:t>
            </w:r>
            <w:r>
              <w:rPr>
                <w:rFonts w:hint="eastAsia" w:ascii="宋体" w:hAnsi="宋体"/>
                <w:color w:val="auto"/>
                <w:sz w:val="24"/>
                <w:szCs w:val="24"/>
              </w:rPr>
              <w:t>要求完成，每</w:t>
            </w:r>
            <w:r>
              <w:rPr>
                <w:rFonts w:hint="eastAsia" w:ascii="宋体" w:hAnsi="宋体"/>
                <w:color w:val="auto"/>
                <w:sz w:val="24"/>
                <w:szCs w:val="24"/>
                <w:lang w:val="en-US" w:eastAsia="zh-CN"/>
              </w:rPr>
              <w:t>缺一次</w:t>
            </w:r>
            <w:r>
              <w:rPr>
                <w:rFonts w:hint="eastAsia" w:ascii="宋体" w:hAnsi="宋体"/>
                <w:color w:val="auto"/>
                <w:sz w:val="24"/>
                <w:szCs w:val="24"/>
              </w:rPr>
              <w:t>记</w:t>
            </w:r>
            <w:r>
              <w:rPr>
                <w:rFonts w:hint="eastAsia" w:ascii="宋体" w:hAnsi="宋体"/>
                <w:color w:val="auto"/>
                <w:sz w:val="24"/>
              </w:rPr>
              <w:t>一次违约。</w:t>
            </w:r>
          </w:p>
          <w:p w14:paraId="31BD5956">
            <w:pPr>
              <w:numPr>
                <w:ilvl w:val="0"/>
                <w:numId w:val="1"/>
              </w:numPr>
              <w:spacing w:line="480" w:lineRule="exact"/>
              <w:ind w:left="0" w:leftChars="0" w:firstLine="0" w:firstLineChars="0"/>
              <w:rPr>
                <w:rFonts w:ascii="宋体" w:hAnsi="宋体"/>
                <w:color w:val="auto"/>
                <w:sz w:val="24"/>
                <w:szCs w:val="24"/>
              </w:rPr>
            </w:pPr>
            <w:r>
              <w:rPr>
                <w:rFonts w:hint="eastAsia" w:ascii="宋体" w:hAnsi="宋体"/>
                <w:color w:val="auto"/>
                <w:sz w:val="24"/>
                <w:szCs w:val="24"/>
              </w:rPr>
              <w:t>防雷设施保养:</w:t>
            </w:r>
            <w:r>
              <w:rPr>
                <w:rFonts w:hint="eastAsia" w:ascii="宋体" w:hAnsi="宋体"/>
                <w:color w:val="auto"/>
                <w:sz w:val="24"/>
                <w:szCs w:val="24"/>
                <w:lang w:eastAsia="zh-CN"/>
              </w:rPr>
              <w:t>中标方</w:t>
            </w:r>
            <w:r>
              <w:rPr>
                <w:rFonts w:hint="eastAsia" w:ascii="宋体" w:hAnsi="宋体"/>
                <w:color w:val="auto"/>
                <w:sz w:val="24"/>
                <w:szCs w:val="24"/>
              </w:rPr>
              <w:t>必须在每年4月的第一个星期(雷雨季节到来前)对防雷设施进行检测保养，完成后需填写维保日志。</w:t>
            </w:r>
            <w:r>
              <w:rPr>
                <w:rFonts w:hint="eastAsia" w:ascii="宋体" w:hAnsi="宋体"/>
                <w:color w:val="auto"/>
                <w:sz w:val="24"/>
              </w:rPr>
              <w:t>未按</w:t>
            </w:r>
            <w:r>
              <w:rPr>
                <w:rFonts w:hint="eastAsia" w:ascii="宋体" w:hAnsi="宋体"/>
                <w:color w:val="auto"/>
                <w:sz w:val="24"/>
                <w:lang w:eastAsia="zh-CN"/>
              </w:rPr>
              <w:t>采购方</w:t>
            </w:r>
            <w:r>
              <w:rPr>
                <w:rFonts w:hint="eastAsia" w:ascii="宋体" w:hAnsi="宋体"/>
                <w:color w:val="auto"/>
                <w:sz w:val="24"/>
              </w:rPr>
              <w:t>要求完成，每</w:t>
            </w:r>
            <w:r>
              <w:rPr>
                <w:rFonts w:hint="eastAsia" w:ascii="宋体" w:hAnsi="宋体"/>
                <w:color w:val="auto"/>
                <w:sz w:val="24"/>
                <w:lang w:val="en-US" w:eastAsia="zh-CN"/>
              </w:rPr>
              <w:t>缺一</w:t>
            </w:r>
            <w:r>
              <w:rPr>
                <w:rFonts w:hint="eastAsia" w:ascii="宋体" w:hAnsi="宋体"/>
                <w:color w:val="auto"/>
                <w:sz w:val="24"/>
              </w:rPr>
              <w:t>次记一次违约。</w:t>
            </w:r>
          </w:p>
          <w:p w14:paraId="596405D4">
            <w:pPr>
              <w:numPr>
                <w:ilvl w:val="0"/>
                <w:numId w:val="1"/>
              </w:numPr>
              <w:spacing w:line="480" w:lineRule="exact"/>
              <w:ind w:left="0" w:leftChars="0" w:firstLine="0" w:firstLineChars="0"/>
              <w:rPr>
                <w:rFonts w:ascii="宋体" w:hAnsi="宋体"/>
                <w:sz w:val="24"/>
                <w:szCs w:val="24"/>
              </w:rPr>
            </w:pPr>
            <w:r>
              <w:rPr>
                <w:rFonts w:hint="eastAsia" w:ascii="宋体" w:hAnsi="宋体"/>
                <w:sz w:val="24"/>
                <w:szCs w:val="24"/>
              </w:rPr>
              <w:t>系统保养:</w:t>
            </w:r>
            <w:r>
              <w:rPr>
                <w:rFonts w:hint="eastAsia" w:ascii="宋体" w:hAnsi="宋体"/>
                <w:sz w:val="24"/>
                <w:szCs w:val="24"/>
                <w:lang w:eastAsia="zh-CN"/>
              </w:rPr>
              <w:t>中标方</w:t>
            </w:r>
            <w:r>
              <w:rPr>
                <w:rFonts w:hint="eastAsia" w:ascii="宋体" w:hAnsi="宋体"/>
                <w:sz w:val="24"/>
                <w:szCs w:val="24"/>
              </w:rPr>
              <w:t>至少每季度进行一次对系统的全面检测保养。在合同终止前1周做最后一次系统检测，如出现故障或问题，要及时进行排除或修复，直至系统检测合格，完成后需填写维保日志。</w:t>
            </w:r>
            <w:r>
              <w:rPr>
                <w:rFonts w:hint="eastAsia" w:ascii="宋体" w:hAnsi="宋体"/>
                <w:sz w:val="24"/>
              </w:rPr>
              <w:t>未按</w:t>
            </w:r>
            <w:r>
              <w:rPr>
                <w:rFonts w:hint="eastAsia" w:ascii="宋体" w:hAnsi="宋体"/>
                <w:sz w:val="24"/>
                <w:lang w:eastAsia="zh-CN"/>
              </w:rPr>
              <w:t>采购方</w:t>
            </w:r>
            <w:r>
              <w:rPr>
                <w:rFonts w:hint="eastAsia" w:ascii="宋体" w:hAnsi="宋体"/>
                <w:sz w:val="24"/>
              </w:rPr>
              <w:t>要求完成，每</w:t>
            </w:r>
            <w:r>
              <w:rPr>
                <w:rFonts w:hint="eastAsia" w:ascii="宋体" w:hAnsi="宋体"/>
                <w:sz w:val="24"/>
                <w:lang w:val="en-US" w:eastAsia="zh-CN"/>
              </w:rPr>
              <w:t>缺一</w:t>
            </w:r>
            <w:r>
              <w:rPr>
                <w:rFonts w:hint="eastAsia" w:ascii="宋体" w:hAnsi="宋体"/>
                <w:sz w:val="24"/>
              </w:rPr>
              <w:t>次记一次违约。</w:t>
            </w:r>
          </w:p>
          <w:p w14:paraId="1E9D75E1">
            <w:pPr>
              <w:spacing w:line="480" w:lineRule="exact"/>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1</w:t>
            </w:r>
            <w:r>
              <w:rPr>
                <w:rFonts w:hint="eastAsia" w:ascii="宋体" w:hAnsi="宋体"/>
                <w:sz w:val="24"/>
                <w:szCs w:val="24"/>
              </w:rPr>
              <w:t>.</w:t>
            </w:r>
            <w:r>
              <w:rPr>
                <w:rFonts w:hint="eastAsia" w:ascii="宋体" w:hAnsi="宋体"/>
                <w:sz w:val="24"/>
                <w:szCs w:val="24"/>
                <w:lang w:val="en-US" w:eastAsia="zh-CN"/>
              </w:rPr>
              <w:t xml:space="preserve"> </w:t>
            </w:r>
            <w:r>
              <w:rPr>
                <w:rFonts w:hint="eastAsia" w:ascii="宋体" w:hAnsi="宋体"/>
                <w:sz w:val="24"/>
                <w:szCs w:val="24"/>
              </w:rPr>
              <w:t>网络应用终端:常用软件 (office及基本上网软件IE等) 故障排除及恢复、病毒防范及消除、硬盘垃圾清理、电脑外设安装调试、系统安装调试与维护应急、系统恢复及日常维护等，完成后需填写维保日志。</w:t>
            </w:r>
            <w:r>
              <w:rPr>
                <w:rFonts w:hint="eastAsia" w:ascii="宋体" w:hAnsi="宋体"/>
                <w:sz w:val="24"/>
              </w:rPr>
              <w:t>未按</w:t>
            </w:r>
            <w:r>
              <w:rPr>
                <w:rFonts w:hint="eastAsia" w:ascii="宋体" w:hAnsi="宋体"/>
                <w:sz w:val="24"/>
                <w:lang w:eastAsia="zh-CN"/>
              </w:rPr>
              <w:t>采购方</w:t>
            </w:r>
            <w:r>
              <w:rPr>
                <w:rFonts w:hint="eastAsia" w:ascii="宋体" w:hAnsi="宋体"/>
                <w:sz w:val="24"/>
              </w:rPr>
              <w:t>要求完成，每</w:t>
            </w:r>
            <w:r>
              <w:rPr>
                <w:rFonts w:hint="eastAsia" w:ascii="宋体" w:hAnsi="宋体"/>
                <w:sz w:val="24"/>
                <w:lang w:val="en-US" w:eastAsia="zh-CN"/>
              </w:rPr>
              <w:t>缺一</w:t>
            </w:r>
            <w:r>
              <w:rPr>
                <w:rFonts w:hint="eastAsia" w:ascii="宋体" w:hAnsi="宋体"/>
                <w:sz w:val="24"/>
              </w:rPr>
              <w:t>次记一次违约。</w:t>
            </w:r>
          </w:p>
          <w:p w14:paraId="1C53AD43">
            <w:pPr>
              <w:spacing w:line="480" w:lineRule="exact"/>
              <w:rPr>
                <w:rFonts w:hint="eastAsia" w:ascii="宋体" w:hAnsi="宋体" w:eastAsia="宋体" w:cs="Times New Roman"/>
                <w:sz w:val="24"/>
                <w:szCs w:val="24"/>
              </w:rPr>
            </w:pPr>
            <w:r>
              <w:rPr>
                <w:rFonts w:hint="eastAsia" w:ascii="宋体" w:hAnsi="宋体"/>
                <w:sz w:val="24"/>
                <w:szCs w:val="24"/>
              </w:rPr>
              <w:t>1</w:t>
            </w:r>
            <w:r>
              <w:rPr>
                <w:rFonts w:hint="eastAsia" w:ascii="宋体" w:hAnsi="宋体"/>
                <w:sz w:val="24"/>
                <w:szCs w:val="24"/>
                <w:lang w:val="en-US" w:eastAsia="zh-CN"/>
              </w:rPr>
              <w:t>2</w:t>
            </w:r>
            <w:r>
              <w:rPr>
                <w:rFonts w:hint="eastAsia" w:ascii="宋体" w:hAnsi="宋体"/>
                <w:sz w:val="24"/>
                <w:szCs w:val="24"/>
              </w:rPr>
              <w:t>.</w:t>
            </w:r>
            <w:r>
              <w:rPr>
                <w:rFonts w:hint="eastAsia" w:ascii="宋体" w:hAnsi="宋体"/>
                <w:sz w:val="24"/>
                <w:szCs w:val="24"/>
                <w:lang w:val="en-US" w:eastAsia="zh-CN"/>
              </w:rPr>
              <w:t xml:space="preserve"> </w:t>
            </w:r>
            <w:r>
              <w:rPr>
                <w:rFonts w:hint="eastAsia" w:ascii="宋体" w:hAnsi="宋体"/>
                <w:sz w:val="24"/>
                <w:szCs w:val="24"/>
              </w:rPr>
              <w:t>网络服务系统:包括服务器软件系统、网络线缆线路、网络交</w:t>
            </w:r>
            <w:r>
              <w:rPr>
                <w:rFonts w:hint="eastAsia" w:ascii="宋体" w:hAnsi="宋体" w:eastAsia="宋体" w:cs="Times New Roman"/>
                <w:sz w:val="24"/>
                <w:szCs w:val="24"/>
              </w:rPr>
              <w:t>换路由设备备用电源检测等，完成后需填写维保日志。未按</w:t>
            </w:r>
            <w:r>
              <w:rPr>
                <w:rFonts w:hint="eastAsia" w:ascii="宋体" w:hAnsi="宋体" w:eastAsia="宋体" w:cs="Times New Roman"/>
                <w:sz w:val="24"/>
                <w:szCs w:val="24"/>
                <w:lang w:eastAsia="zh-CN"/>
              </w:rPr>
              <w:t>采购方</w:t>
            </w:r>
            <w:r>
              <w:rPr>
                <w:rFonts w:hint="eastAsia" w:ascii="宋体" w:hAnsi="宋体" w:eastAsia="宋体" w:cs="Times New Roman"/>
                <w:sz w:val="24"/>
                <w:szCs w:val="24"/>
              </w:rPr>
              <w:t>要求完成，每</w:t>
            </w:r>
            <w:r>
              <w:rPr>
                <w:rFonts w:hint="eastAsia" w:ascii="宋体" w:hAnsi="宋体" w:eastAsia="宋体" w:cs="Times New Roman"/>
                <w:sz w:val="24"/>
                <w:szCs w:val="24"/>
                <w:lang w:val="en-US" w:eastAsia="zh-CN"/>
              </w:rPr>
              <w:t>缺一</w:t>
            </w:r>
            <w:r>
              <w:rPr>
                <w:rFonts w:hint="eastAsia" w:ascii="宋体" w:hAnsi="宋体" w:eastAsia="宋体" w:cs="Times New Roman"/>
                <w:sz w:val="24"/>
                <w:szCs w:val="24"/>
              </w:rPr>
              <w:t>次记一次违约。</w:t>
            </w:r>
          </w:p>
          <w:p w14:paraId="08DF46B7">
            <w:pPr>
              <w:spacing w:line="480" w:lineRule="exact"/>
              <w:rPr>
                <w:rFonts w:hint="default"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13. 人脸识别闸机系统：</w:t>
            </w:r>
            <w:r>
              <w:rPr>
                <w:rFonts w:hint="eastAsia" w:ascii="宋体" w:hAnsi="宋体"/>
                <w:color w:val="auto"/>
                <w:sz w:val="24"/>
                <w:szCs w:val="24"/>
              </w:rPr>
              <w:t>包括</w:t>
            </w:r>
            <w:r>
              <w:rPr>
                <w:rFonts w:hint="eastAsia" w:ascii="宋体" w:hAnsi="宋体" w:eastAsia="宋体" w:cs="Times New Roman"/>
                <w:color w:val="auto"/>
                <w:sz w:val="24"/>
                <w:szCs w:val="24"/>
                <w:lang w:val="en-US" w:eastAsia="zh-CN"/>
              </w:rPr>
              <w:t>道闸主机及道闸</w:t>
            </w:r>
            <w:r>
              <w:rPr>
                <w:rFonts w:hint="eastAsia" w:ascii="宋体" w:hAnsi="宋体"/>
                <w:color w:val="auto"/>
                <w:sz w:val="24"/>
                <w:szCs w:val="24"/>
              </w:rPr>
              <w:t>服务器软件系统、网络线缆线路、网络交</w:t>
            </w:r>
            <w:r>
              <w:rPr>
                <w:rFonts w:hint="eastAsia" w:ascii="宋体" w:hAnsi="宋体" w:eastAsia="宋体" w:cs="Times New Roman"/>
                <w:color w:val="auto"/>
                <w:sz w:val="24"/>
                <w:szCs w:val="24"/>
              </w:rPr>
              <w:t>换路由设备备用电源检测等，完成后需填写维保日志。未按</w:t>
            </w:r>
            <w:r>
              <w:rPr>
                <w:rFonts w:hint="eastAsia" w:ascii="宋体" w:hAnsi="宋体" w:eastAsia="宋体" w:cs="Times New Roman"/>
                <w:color w:val="auto"/>
                <w:sz w:val="24"/>
                <w:szCs w:val="24"/>
                <w:lang w:eastAsia="zh-CN"/>
              </w:rPr>
              <w:t>采购方</w:t>
            </w:r>
            <w:r>
              <w:rPr>
                <w:rFonts w:hint="eastAsia" w:ascii="宋体" w:hAnsi="宋体" w:eastAsia="宋体" w:cs="Times New Roman"/>
                <w:color w:val="auto"/>
                <w:sz w:val="24"/>
                <w:szCs w:val="24"/>
              </w:rPr>
              <w:t>要求完成，每</w:t>
            </w:r>
            <w:r>
              <w:rPr>
                <w:rFonts w:hint="eastAsia" w:ascii="宋体" w:hAnsi="宋体" w:eastAsia="宋体" w:cs="Times New Roman"/>
                <w:color w:val="auto"/>
                <w:sz w:val="24"/>
                <w:szCs w:val="24"/>
                <w:lang w:val="en-US" w:eastAsia="zh-CN"/>
              </w:rPr>
              <w:t>缺一</w:t>
            </w:r>
            <w:r>
              <w:rPr>
                <w:rFonts w:hint="eastAsia" w:ascii="宋体" w:hAnsi="宋体" w:eastAsia="宋体" w:cs="Times New Roman"/>
                <w:color w:val="auto"/>
                <w:sz w:val="24"/>
                <w:szCs w:val="24"/>
              </w:rPr>
              <w:t>次记一次违约。</w:t>
            </w:r>
          </w:p>
          <w:p w14:paraId="398227CB">
            <w:pPr>
              <w:spacing w:line="480" w:lineRule="exact"/>
              <w:rPr>
                <w:rFonts w:hint="default"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14. 其他保养：中标方须对维保范围内包含的所有设备进行保养，未罗列具体保养要求的，以采购方实际要求为准，</w:t>
            </w:r>
            <w:r>
              <w:rPr>
                <w:rFonts w:hint="eastAsia" w:ascii="宋体" w:hAnsi="宋体" w:eastAsia="宋体" w:cs="Times New Roman"/>
                <w:color w:val="auto"/>
                <w:sz w:val="24"/>
                <w:szCs w:val="24"/>
              </w:rPr>
              <w:t>未按</w:t>
            </w:r>
            <w:r>
              <w:rPr>
                <w:rFonts w:hint="eastAsia" w:ascii="宋体" w:hAnsi="宋体" w:eastAsia="宋体" w:cs="Times New Roman"/>
                <w:color w:val="auto"/>
                <w:sz w:val="24"/>
                <w:szCs w:val="24"/>
                <w:lang w:eastAsia="zh-CN"/>
              </w:rPr>
              <w:t>采购方</w:t>
            </w:r>
            <w:r>
              <w:rPr>
                <w:rFonts w:hint="eastAsia" w:ascii="宋体" w:hAnsi="宋体" w:eastAsia="宋体" w:cs="Times New Roman"/>
                <w:color w:val="auto"/>
                <w:sz w:val="24"/>
                <w:szCs w:val="24"/>
              </w:rPr>
              <w:t>要求完成，每</w:t>
            </w:r>
            <w:r>
              <w:rPr>
                <w:rFonts w:hint="eastAsia" w:ascii="宋体" w:hAnsi="宋体" w:eastAsia="宋体" w:cs="Times New Roman"/>
                <w:color w:val="auto"/>
                <w:sz w:val="24"/>
                <w:szCs w:val="24"/>
                <w:lang w:val="en-US" w:eastAsia="zh-CN"/>
              </w:rPr>
              <w:t>缺一</w:t>
            </w:r>
            <w:r>
              <w:rPr>
                <w:rFonts w:hint="eastAsia" w:ascii="宋体" w:hAnsi="宋体" w:eastAsia="宋体" w:cs="Times New Roman"/>
                <w:color w:val="auto"/>
                <w:sz w:val="24"/>
                <w:szCs w:val="24"/>
              </w:rPr>
              <w:t>次记一次违约。</w:t>
            </w:r>
          </w:p>
          <w:p w14:paraId="1355830C">
            <w:pPr>
              <w:spacing w:line="480" w:lineRule="exact"/>
              <w:rPr>
                <w:rFonts w:hint="eastAsia" w:ascii="宋体" w:hAnsi="宋体" w:eastAsia="宋体" w:cs="Times New Roman"/>
                <w:color w:val="auto"/>
                <w:sz w:val="24"/>
                <w:szCs w:val="24"/>
              </w:rPr>
            </w:pPr>
            <w:r>
              <w:rPr>
                <w:rFonts w:hint="eastAsia" w:ascii="宋体" w:hAnsi="宋体" w:eastAsia="宋体" w:cs="Times New Roman"/>
                <w:color w:val="auto"/>
                <w:sz w:val="24"/>
                <w:szCs w:val="24"/>
                <w:lang w:val="en-US" w:eastAsia="zh-CN"/>
              </w:rPr>
              <w:t>15</w:t>
            </w:r>
            <w:r>
              <w:rPr>
                <w:rFonts w:hint="eastAsia" w:ascii="宋体" w:hAnsi="宋体" w:eastAsia="宋体" w:cs="Times New Roman"/>
                <w:color w:val="auto"/>
                <w:sz w:val="24"/>
                <w:szCs w:val="24"/>
              </w:rPr>
              <w:t>.</w:t>
            </w:r>
            <w:r>
              <w:rPr>
                <w:rFonts w:hint="eastAsia" w:ascii="宋体" w:hAnsi="宋体" w:eastAsia="宋体" w:cs="Times New Roman"/>
                <w:color w:val="auto"/>
                <w:sz w:val="24"/>
                <w:szCs w:val="24"/>
                <w:lang w:val="en-US" w:eastAsia="zh-CN"/>
              </w:rPr>
              <w:t xml:space="preserve"> 设备迁移</w:t>
            </w:r>
            <w:r>
              <w:rPr>
                <w:rFonts w:hint="eastAsia" w:ascii="宋体" w:hAnsi="宋体" w:eastAsia="宋体" w:cs="Times New Roman"/>
                <w:color w:val="auto"/>
                <w:sz w:val="24"/>
                <w:szCs w:val="24"/>
              </w:rPr>
              <w:t>:在“摄像机位置”有迁移必要</w:t>
            </w:r>
            <w:r>
              <w:rPr>
                <w:rFonts w:hint="eastAsia" w:ascii="宋体" w:hAnsi="宋体" w:eastAsia="宋体" w:cs="Times New Roman"/>
                <w:color w:val="auto"/>
                <w:sz w:val="24"/>
                <w:szCs w:val="24"/>
                <w:lang w:val="en-US" w:eastAsia="zh-CN"/>
              </w:rPr>
              <w:t>时或</w:t>
            </w:r>
            <w:r>
              <w:rPr>
                <w:rFonts w:hint="eastAsia" w:ascii="宋体" w:hAnsi="宋体" w:eastAsia="宋体" w:cs="Times New Roman"/>
                <w:color w:val="auto"/>
                <w:sz w:val="24"/>
                <w:szCs w:val="24"/>
              </w:rPr>
              <w:t>路面</w:t>
            </w:r>
            <w:r>
              <w:rPr>
                <w:rFonts w:hint="eastAsia" w:ascii="宋体" w:hAnsi="宋体" w:eastAsia="宋体" w:cs="Times New Roman"/>
                <w:color w:val="auto"/>
                <w:sz w:val="24"/>
                <w:szCs w:val="24"/>
                <w:lang w:val="en-US" w:eastAsia="zh-CN"/>
              </w:rPr>
              <w:t>存在</w:t>
            </w:r>
            <w:r>
              <w:rPr>
                <w:rFonts w:hint="eastAsia" w:ascii="宋体" w:hAnsi="宋体" w:eastAsia="宋体" w:cs="Times New Roman"/>
                <w:color w:val="auto"/>
                <w:sz w:val="24"/>
                <w:szCs w:val="24"/>
              </w:rPr>
              <w:t>已失效监控设备</w:t>
            </w:r>
            <w:r>
              <w:rPr>
                <w:rFonts w:hint="eastAsia" w:ascii="宋体" w:hAnsi="宋体" w:eastAsia="宋体" w:cs="Times New Roman"/>
                <w:color w:val="auto"/>
                <w:sz w:val="24"/>
                <w:szCs w:val="24"/>
                <w:lang w:val="en-US" w:eastAsia="zh-CN"/>
              </w:rPr>
              <w:t>时，中标方须及时向采购方管理人员报告，并按采购方要求进行处理。采购方指定须迁移的设备，按采购方要求完成。</w:t>
            </w:r>
            <w:r>
              <w:rPr>
                <w:rFonts w:hint="eastAsia" w:ascii="宋体" w:hAnsi="宋体" w:eastAsia="宋体" w:cs="Times New Roman"/>
                <w:color w:val="auto"/>
                <w:sz w:val="24"/>
                <w:szCs w:val="24"/>
              </w:rPr>
              <w:t>完成后需填写维保日志。未按</w:t>
            </w:r>
            <w:r>
              <w:rPr>
                <w:rFonts w:hint="eastAsia" w:ascii="宋体" w:hAnsi="宋体" w:eastAsia="宋体" w:cs="Times New Roman"/>
                <w:color w:val="auto"/>
                <w:sz w:val="24"/>
                <w:szCs w:val="24"/>
                <w:lang w:eastAsia="zh-CN"/>
              </w:rPr>
              <w:t>采购方</w:t>
            </w:r>
            <w:r>
              <w:rPr>
                <w:rFonts w:hint="eastAsia" w:ascii="宋体" w:hAnsi="宋体" w:eastAsia="宋体" w:cs="Times New Roman"/>
                <w:color w:val="auto"/>
                <w:sz w:val="24"/>
                <w:szCs w:val="24"/>
              </w:rPr>
              <w:t>要求完成，每</w:t>
            </w:r>
            <w:r>
              <w:rPr>
                <w:rFonts w:hint="eastAsia" w:ascii="宋体" w:hAnsi="宋体" w:eastAsia="宋体" w:cs="Times New Roman"/>
                <w:color w:val="auto"/>
                <w:sz w:val="24"/>
                <w:szCs w:val="24"/>
                <w:lang w:val="en-US" w:eastAsia="zh-CN"/>
              </w:rPr>
              <w:t>缺一</w:t>
            </w:r>
            <w:r>
              <w:rPr>
                <w:rFonts w:hint="eastAsia" w:ascii="宋体" w:hAnsi="宋体" w:eastAsia="宋体" w:cs="Times New Roman"/>
                <w:color w:val="auto"/>
                <w:sz w:val="24"/>
                <w:szCs w:val="24"/>
              </w:rPr>
              <w:t>次记一次违约。</w:t>
            </w:r>
          </w:p>
          <w:p w14:paraId="587BD5D2">
            <w:pPr>
              <w:spacing w:line="480" w:lineRule="exact"/>
              <w:rPr>
                <w:rFonts w:hint="default" w:ascii="宋体" w:hAnsi="宋体" w:eastAsia="宋体"/>
                <w:color w:val="auto"/>
                <w:sz w:val="24"/>
                <w:szCs w:val="24"/>
                <w:lang w:val="en-US" w:eastAsia="zh-CN"/>
              </w:rPr>
            </w:pPr>
            <w:r>
              <w:rPr>
                <w:rFonts w:hint="eastAsia" w:ascii="宋体" w:hAnsi="宋体" w:eastAsia="宋体" w:cs="Times New Roman"/>
                <w:color w:val="auto"/>
                <w:sz w:val="24"/>
                <w:szCs w:val="24"/>
              </w:rPr>
              <w:t>1</w:t>
            </w:r>
            <w:r>
              <w:rPr>
                <w:rFonts w:hint="eastAsia" w:ascii="宋体" w:hAnsi="宋体" w:eastAsia="宋体" w:cs="Times New Roman"/>
                <w:color w:val="auto"/>
                <w:sz w:val="24"/>
                <w:szCs w:val="24"/>
                <w:lang w:val="en-US" w:eastAsia="zh-CN"/>
              </w:rPr>
              <w:t>6</w:t>
            </w:r>
            <w:r>
              <w:rPr>
                <w:rFonts w:hint="eastAsia" w:ascii="宋体" w:hAnsi="宋体" w:eastAsia="宋体" w:cs="Times New Roman"/>
                <w:color w:val="auto"/>
                <w:sz w:val="24"/>
                <w:szCs w:val="24"/>
              </w:rPr>
              <w:t>.</w:t>
            </w:r>
            <w:r>
              <w:rPr>
                <w:rFonts w:hint="eastAsia" w:ascii="宋体" w:hAnsi="宋体" w:eastAsia="宋体" w:cs="Times New Roman"/>
                <w:color w:val="auto"/>
                <w:sz w:val="24"/>
                <w:szCs w:val="24"/>
                <w:lang w:val="en-US" w:eastAsia="zh-CN"/>
              </w:rPr>
              <w:t xml:space="preserve"> 维保配套设备</w:t>
            </w:r>
            <w:r>
              <w:rPr>
                <w:rFonts w:hint="eastAsia" w:ascii="宋体" w:hAnsi="宋体" w:eastAsia="宋体" w:cs="Times New Roman"/>
                <w:color w:val="auto"/>
                <w:sz w:val="24"/>
                <w:szCs w:val="24"/>
              </w:rPr>
              <w:t>:</w:t>
            </w:r>
            <w:r>
              <w:rPr>
                <w:rFonts w:hint="eastAsia" w:ascii="宋体" w:hAnsi="宋体"/>
                <w:color w:val="auto"/>
                <w:sz w:val="24"/>
                <w:szCs w:val="24"/>
                <w:lang w:eastAsia="zh-CN"/>
              </w:rPr>
              <w:t>中标方</w:t>
            </w:r>
            <w:r>
              <w:rPr>
                <w:rFonts w:hint="eastAsia" w:ascii="宋体" w:hAnsi="宋体"/>
                <w:color w:val="auto"/>
                <w:sz w:val="24"/>
                <w:szCs w:val="24"/>
              </w:rPr>
              <w:t>需</w:t>
            </w:r>
            <w:r>
              <w:rPr>
                <w:rFonts w:hint="eastAsia" w:ascii="宋体" w:hAnsi="宋体"/>
                <w:color w:val="auto"/>
                <w:sz w:val="24"/>
                <w:szCs w:val="24"/>
                <w:lang w:val="en-US" w:eastAsia="zh-CN"/>
              </w:rPr>
              <w:t>免费</w:t>
            </w:r>
            <w:r>
              <w:rPr>
                <w:rFonts w:hint="eastAsia" w:ascii="宋体" w:hAnsi="宋体"/>
                <w:color w:val="auto"/>
                <w:sz w:val="24"/>
                <w:szCs w:val="24"/>
              </w:rPr>
              <w:t>提供以下数量的</w:t>
            </w:r>
            <w:r>
              <w:rPr>
                <w:rFonts w:hint="eastAsia" w:ascii="宋体" w:hAnsi="宋体"/>
                <w:color w:val="auto"/>
                <w:sz w:val="24"/>
                <w:szCs w:val="24"/>
                <w:lang w:val="en-US" w:eastAsia="zh-CN"/>
              </w:rPr>
              <w:t>配套设备</w:t>
            </w:r>
            <w:r>
              <w:rPr>
                <w:rFonts w:hint="eastAsia" w:ascii="宋体" w:hAnsi="宋体"/>
                <w:color w:val="auto"/>
                <w:sz w:val="24"/>
                <w:szCs w:val="24"/>
              </w:rPr>
              <w:t>给</w:t>
            </w:r>
            <w:r>
              <w:rPr>
                <w:rFonts w:hint="eastAsia" w:ascii="宋体" w:hAnsi="宋体"/>
                <w:color w:val="auto"/>
                <w:sz w:val="24"/>
                <w:szCs w:val="24"/>
                <w:lang w:eastAsia="zh-CN"/>
              </w:rPr>
              <w:t>采购方</w:t>
            </w:r>
            <w:r>
              <w:rPr>
                <w:rFonts w:hint="eastAsia" w:ascii="宋体" w:hAnsi="宋体"/>
                <w:color w:val="auto"/>
                <w:sz w:val="24"/>
                <w:szCs w:val="24"/>
              </w:rPr>
              <w:t>使用，设备所有权归</w:t>
            </w:r>
            <w:r>
              <w:rPr>
                <w:rFonts w:hint="eastAsia" w:ascii="宋体" w:hAnsi="宋体"/>
                <w:color w:val="auto"/>
                <w:sz w:val="24"/>
                <w:szCs w:val="24"/>
                <w:lang w:eastAsia="zh-CN"/>
              </w:rPr>
              <w:t>采购方</w:t>
            </w:r>
            <w:r>
              <w:rPr>
                <w:rFonts w:hint="eastAsia" w:ascii="宋体" w:hAnsi="宋体"/>
                <w:color w:val="auto"/>
                <w:sz w:val="24"/>
                <w:szCs w:val="24"/>
              </w:rPr>
              <w:t>所有（此批</w:t>
            </w:r>
            <w:r>
              <w:rPr>
                <w:rFonts w:hint="eastAsia" w:ascii="宋体" w:hAnsi="宋体"/>
                <w:color w:val="auto"/>
                <w:sz w:val="24"/>
                <w:szCs w:val="24"/>
                <w:lang w:val="en-US" w:eastAsia="zh-CN"/>
              </w:rPr>
              <w:t>设备</w:t>
            </w:r>
            <w:r>
              <w:rPr>
                <w:rFonts w:hint="eastAsia" w:ascii="宋体" w:hAnsi="宋体"/>
                <w:color w:val="auto"/>
                <w:sz w:val="24"/>
                <w:szCs w:val="24"/>
              </w:rPr>
              <w:t>不计入维保所需设备及配件），</w:t>
            </w:r>
            <w:r>
              <w:rPr>
                <w:rFonts w:hint="eastAsia" w:ascii="宋体" w:hAnsi="宋体"/>
                <w:b/>
                <w:color w:val="auto"/>
                <w:sz w:val="24"/>
                <w:szCs w:val="24"/>
              </w:rPr>
              <w:t>清单详见</w:t>
            </w:r>
            <w:r>
              <w:rPr>
                <w:rFonts w:hint="eastAsia" w:ascii="宋体" w:hAnsi="宋体"/>
                <w:b/>
                <w:color w:val="auto"/>
                <w:sz w:val="24"/>
                <w:szCs w:val="24"/>
                <w:lang w:val="en-US" w:eastAsia="zh-CN"/>
              </w:rPr>
              <w:t>下表2</w:t>
            </w:r>
            <w:r>
              <w:rPr>
                <w:rFonts w:hint="eastAsia" w:ascii="宋体" w:hAnsi="宋体"/>
                <w:b/>
                <w:color w:val="auto"/>
                <w:sz w:val="24"/>
                <w:szCs w:val="24"/>
              </w:rPr>
              <w:t>。</w:t>
            </w:r>
            <w:r>
              <w:rPr>
                <w:rFonts w:hint="eastAsia" w:ascii="宋体" w:hAnsi="宋体"/>
                <w:color w:val="auto"/>
                <w:sz w:val="24"/>
              </w:rPr>
              <w:t>需要按</w:t>
            </w:r>
            <w:r>
              <w:rPr>
                <w:rFonts w:hint="eastAsia" w:ascii="宋体" w:hAnsi="宋体"/>
                <w:color w:val="auto"/>
                <w:sz w:val="24"/>
                <w:lang w:eastAsia="zh-CN"/>
              </w:rPr>
              <w:t>采购方</w:t>
            </w:r>
            <w:r>
              <w:rPr>
                <w:rFonts w:hint="eastAsia" w:ascii="宋体" w:hAnsi="宋体"/>
                <w:color w:val="auto"/>
                <w:sz w:val="24"/>
              </w:rPr>
              <w:t>要求完成。</w:t>
            </w:r>
          </w:p>
          <w:p w14:paraId="1EBCBE4D">
            <w:pPr>
              <w:spacing w:line="480" w:lineRule="exact"/>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7</w:t>
            </w:r>
            <w:r>
              <w:rPr>
                <w:rFonts w:hint="eastAsia" w:ascii="宋体" w:hAnsi="宋体"/>
                <w:sz w:val="24"/>
                <w:szCs w:val="24"/>
              </w:rPr>
              <w:t>.</w:t>
            </w:r>
            <w:r>
              <w:rPr>
                <w:rFonts w:hint="eastAsia" w:ascii="宋体" w:hAnsi="宋体"/>
                <w:sz w:val="24"/>
                <w:szCs w:val="24"/>
                <w:lang w:val="en-US" w:eastAsia="zh-CN"/>
              </w:rPr>
              <w:t xml:space="preserve"> </w:t>
            </w:r>
            <w:r>
              <w:rPr>
                <w:rFonts w:hint="eastAsia" w:ascii="宋体" w:hAnsi="宋体"/>
                <w:sz w:val="24"/>
                <w:szCs w:val="24"/>
              </w:rPr>
              <w:t>维保日志：</w:t>
            </w:r>
            <w:r>
              <w:rPr>
                <w:rFonts w:hint="eastAsia" w:ascii="宋体" w:hAnsi="宋体"/>
                <w:sz w:val="24"/>
                <w:szCs w:val="24"/>
                <w:lang w:eastAsia="zh-CN"/>
              </w:rPr>
              <w:t>中标方</w:t>
            </w:r>
            <w:r>
              <w:rPr>
                <w:rFonts w:hint="eastAsia" w:ascii="宋体" w:hAnsi="宋体"/>
                <w:sz w:val="24"/>
                <w:szCs w:val="24"/>
              </w:rPr>
              <w:t>需按上述服务内容详细填写维保日志，求包含工作时间（精确到小时），工作地点（精确到具体楼栋楼层），工作内容（精确到具体工作），工作完成情况（未能及时完成需填写跟进时间），日志模版可由甲乙双方商议制定。</w:t>
            </w:r>
            <w:r>
              <w:rPr>
                <w:rFonts w:hint="eastAsia" w:ascii="宋体" w:hAnsi="宋体"/>
                <w:sz w:val="24"/>
                <w:szCs w:val="24"/>
                <w:lang w:eastAsia="zh-CN"/>
              </w:rPr>
              <w:t>采购方</w:t>
            </w:r>
            <w:r>
              <w:rPr>
                <w:rFonts w:hint="eastAsia" w:ascii="宋体" w:hAnsi="宋体"/>
                <w:sz w:val="24"/>
                <w:szCs w:val="24"/>
              </w:rPr>
              <w:t>每周对</w:t>
            </w:r>
            <w:r>
              <w:rPr>
                <w:rFonts w:hint="eastAsia" w:ascii="宋体" w:hAnsi="宋体"/>
                <w:sz w:val="24"/>
                <w:szCs w:val="24"/>
                <w:lang w:eastAsia="zh-CN"/>
              </w:rPr>
              <w:t>中标方</w:t>
            </w:r>
            <w:r>
              <w:rPr>
                <w:rFonts w:hint="eastAsia" w:ascii="宋体" w:hAnsi="宋体"/>
                <w:sz w:val="24"/>
                <w:szCs w:val="24"/>
              </w:rPr>
              <w:t>进行维保日志检查，</w:t>
            </w:r>
            <w:r>
              <w:rPr>
                <w:rFonts w:hint="eastAsia" w:ascii="宋体" w:hAnsi="宋体"/>
                <w:sz w:val="24"/>
              </w:rPr>
              <w:t>检查结果不合格每次记一次违约。</w:t>
            </w:r>
            <w:bookmarkEnd w:id="4"/>
          </w:p>
        </w:tc>
        <w:tc>
          <w:tcPr>
            <w:tcW w:w="502" w:type="pct"/>
            <w:tcBorders>
              <w:top w:val="single" w:color="auto" w:sz="4" w:space="0"/>
              <w:left w:val="single" w:color="auto" w:sz="4" w:space="0"/>
              <w:bottom w:val="single" w:color="auto" w:sz="4" w:space="0"/>
              <w:right w:val="single" w:color="auto" w:sz="4" w:space="0"/>
            </w:tcBorders>
            <w:noWrap w:val="0"/>
            <w:vAlign w:val="center"/>
          </w:tcPr>
          <w:p w14:paraId="2F9691A0">
            <w:pPr>
              <w:spacing w:line="480" w:lineRule="exact"/>
              <w:jc w:val="center"/>
              <w:rPr>
                <w:rFonts w:hint="eastAsia" w:ascii="宋体" w:hAnsi="宋体" w:cs="宋体"/>
                <w:b/>
                <w:bCs/>
                <w:sz w:val="24"/>
                <w:szCs w:val="24"/>
              </w:rPr>
            </w:pPr>
          </w:p>
          <w:p w14:paraId="001C4E8C">
            <w:pPr>
              <w:spacing w:line="480" w:lineRule="exact"/>
              <w:jc w:val="center"/>
              <w:rPr>
                <w:rFonts w:ascii="宋体" w:hAnsi="宋体" w:cs="宋体"/>
                <w:b/>
                <w:sz w:val="24"/>
                <w:szCs w:val="24"/>
              </w:rPr>
            </w:pPr>
            <w:r>
              <w:rPr>
                <w:rFonts w:hint="eastAsia" w:ascii="宋体" w:hAnsi="宋体" w:cs="宋体"/>
                <w:b/>
                <w:bCs/>
                <w:sz w:val="24"/>
                <w:szCs w:val="24"/>
              </w:rPr>
              <w:t>服务要求响应/偏离表</w:t>
            </w:r>
          </w:p>
        </w:tc>
      </w:tr>
      <w:tr w14:paraId="0BE1B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378" w:type="pct"/>
            <w:tcBorders>
              <w:top w:val="single" w:color="auto" w:sz="4" w:space="0"/>
              <w:left w:val="single" w:color="auto" w:sz="4" w:space="0"/>
              <w:bottom w:val="single" w:color="auto" w:sz="4" w:space="0"/>
              <w:right w:val="single" w:color="auto" w:sz="4" w:space="0"/>
            </w:tcBorders>
            <w:noWrap w:val="0"/>
            <w:vAlign w:val="center"/>
          </w:tcPr>
          <w:p w14:paraId="526EF7CA">
            <w:pPr>
              <w:spacing w:line="480" w:lineRule="exact"/>
              <w:jc w:val="center"/>
              <w:rPr>
                <w:rFonts w:ascii="宋体" w:hAnsi="宋体" w:cs="宋体"/>
                <w:sz w:val="24"/>
                <w:szCs w:val="24"/>
              </w:rPr>
            </w:pPr>
            <w:r>
              <w:rPr>
                <w:rFonts w:hint="eastAsia" w:ascii="宋体" w:hAnsi="宋体" w:cs="宋体"/>
                <w:sz w:val="24"/>
                <w:szCs w:val="24"/>
              </w:rPr>
              <w:t>3</w:t>
            </w:r>
          </w:p>
        </w:tc>
        <w:tc>
          <w:tcPr>
            <w:tcW w:w="529" w:type="pct"/>
            <w:tcBorders>
              <w:top w:val="single" w:color="auto" w:sz="4" w:space="0"/>
              <w:left w:val="single" w:color="auto" w:sz="4" w:space="0"/>
              <w:bottom w:val="single" w:color="auto" w:sz="4" w:space="0"/>
              <w:right w:val="single" w:color="auto" w:sz="4" w:space="0"/>
            </w:tcBorders>
            <w:noWrap w:val="0"/>
            <w:vAlign w:val="center"/>
          </w:tcPr>
          <w:p w14:paraId="620CB5A8">
            <w:pPr>
              <w:spacing w:line="480" w:lineRule="exact"/>
              <w:jc w:val="center"/>
              <w:rPr>
                <w:rFonts w:ascii="宋体" w:hAnsi="宋体" w:cs="宋体"/>
                <w:sz w:val="24"/>
                <w:szCs w:val="24"/>
              </w:rPr>
            </w:pPr>
            <w:r>
              <w:rPr>
                <w:rFonts w:hint="eastAsia" w:ascii="宋体" w:hAnsi="宋体" w:cs="宋体"/>
                <w:b/>
                <w:bCs/>
                <w:spacing w:val="2"/>
                <w:sz w:val="24"/>
                <w:szCs w:val="24"/>
                <w:lang w:val="zh-CN"/>
              </w:rPr>
              <w:t>★</w:t>
            </w:r>
          </w:p>
        </w:tc>
        <w:tc>
          <w:tcPr>
            <w:tcW w:w="3590" w:type="pct"/>
            <w:tcBorders>
              <w:top w:val="single" w:color="auto" w:sz="4" w:space="0"/>
              <w:left w:val="single" w:color="auto" w:sz="4" w:space="0"/>
              <w:bottom w:val="single" w:color="auto" w:sz="4" w:space="0"/>
              <w:right w:val="single" w:color="auto" w:sz="4" w:space="0"/>
            </w:tcBorders>
            <w:noWrap w:val="0"/>
            <w:vAlign w:val="center"/>
          </w:tcPr>
          <w:p w14:paraId="7CE33F44">
            <w:pPr>
              <w:spacing w:line="480" w:lineRule="exact"/>
              <w:rPr>
                <w:rFonts w:ascii="宋体" w:hAnsi="宋体"/>
                <w:b/>
                <w:sz w:val="24"/>
                <w:szCs w:val="24"/>
              </w:rPr>
            </w:pPr>
            <w:r>
              <w:rPr>
                <w:rFonts w:hint="eastAsia" w:ascii="宋体" w:hAnsi="宋体"/>
                <w:b/>
                <w:sz w:val="24"/>
                <w:szCs w:val="24"/>
              </w:rPr>
              <w:t>人员要求：</w:t>
            </w:r>
          </w:p>
          <w:p w14:paraId="5D2CA816">
            <w:pPr>
              <w:spacing w:line="480" w:lineRule="exact"/>
              <w:rPr>
                <w:rFonts w:ascii="宋体" w:hAnsi="宋体"/>
                <w:sz w:val="24"/>
              </w:rPr>
            </w:pPr>
            <w:r>
              <w:rPr>
                <w:rFonts w:hint="eastAsia" w:ascii="宋体" w:hAnsi="宋体"/>
                <w:sz w:val="24"/>
              </w:rPr>
              <w:t>1.</w:t>
            </w:r>
            <w:r>
              <w:rPr>
                <w:rFonts w:hint="eastAsia" w:ascii="宋体" w:hAnsi="宋体"/>
                <w:sz w:val="24"/>
                <w:lang w:eastAsia="zh-CN"/>
              </w:rPr>
              <w:t>中标方</w:t>
            </w:r>
            <w:r>
              <w:rPr>
                <w:rFonts w:hint="eastAsia" w:ascii="宋体" w:hAnsi="宋体"/>
                <w:sz w:val="24"/>
              </w:rPr>
              <w:t>必须提供专业维保技术人员长期驻点在学校各校区监控中心，其他每个校区分别提供不少于1名驻点的专业维护技术人员。前湖校区不少于5名驻点专业维护技术人员，相关人员不得中途更换。所有人员由</w:t>
            </w:r>
            <w:r>
              <w:rPr>
                <w:rFonts w:hint="eastAsia" w:ascii="宋体" w:hAnsi="宋体"/>
                <w:sz w:val="24"/>
                <w:lang w:eastAsia="zh-CN"/>
              </w:rPr>
              <w:t>采购方</w:t>
            </w:r>
            <w:r>
              <w:rPr>
                <w:rFonts w:hint="eastAsia" w:ascii="宋体" w:hAnsi="宋体"/>
                <w:sz w:val="24"/>
              </w:rPr>
              <w:t>统一安排工作；工作时间按</w:t>
            </w:r>
            <w:r>
              <w:rPr>
                <w:rFonts w:hint="eastAsia" w:ascii="宋体" w:hAnsi="宋体"/>
                <w:sz w:val="24"/>
                <w:lang w:eastAsia="zh-CN"/>
              </w:rPr>
              <w:t>采购方</w:t>
            </w:r>
            <w:r>
              <w:rPr>
                <w:rFonts w:hint="eastAsia" w:ascii="宋体" w:hAnsi="宋体"/>
                <w:sz w:val="24"/>
              </w:rPr>
              <w:t>统一上下班时间，具体工作时间由采购方安排。如不满足要求采购方有权提前解除合同。（</w:t>
            </w:r>
            <w:r>
              <w:rPr>
                <w:rFonts w:hint="eastAsia" w:ascii="宋体" w:hAnsi="宋体"/>
                <w:sz w:val="24"/>
                <w:lang w:eastAsia="zh-CN"/>
              </w:rPr>
              <w:t>中标方</w:t>
            </w:r>
            <w:r>
              <w:rPr>
                <w:rFonts w:hint="eastAsia" w:ascii="宋体" w:hAnsi="宋体"/>
                <w:sz w:val="24"/>
              </w:rPr>
              <w:t>不得以任何理由抽调、调整驻点维保技术人员，并严格按照采购方安排的时间统一上下班，人员时间由采购方全面统一管理。)</w:t>
            </w:r>
          </w:p>
          <w:p w14:paraId="74789E1A">
            <w:pPr>
              <w:spacing w:line="480" w:lineRule="exact"/>
              <w:rPr>
                <w:rFonts w:ascii="宋体" w:hAnsi="宋体"/>
                <w:sz w:val="24"/>
              </w:rPr>
            </w:pPr>
            <w:r>
              <w:rPr>
                <w:rFonts w:hint="eastAsia" w:ascii="宋体" w:hAnsi="宋体"/>
                <w:sz w:val="24"/>
              </w:rPr>
              <w:t>2.</w:t>
            </w:r>
            <w:r>
              <w:rPr>
                <w:rFonts w:hint="eastAsia" w:ascii="宋体" w:hAnsi="宋体"/>
                <w:sz w:val="24"/>
                <w:lang w:eastAsia="zh-CN"/>
              </w:rPr>
              <w:t>中标方</w:t>
            </w:r>
            <w:r>
              <w:rPr>
                <w:rFonts w:hint="eastAsia" w:ascii="宋体" w:hAnsi="宋体"/>
                <w:sz w:val="24"/>
              </w:rPr>
              <w:t>须提供7*24小时维保热线，维保的设备出现故障应及时响应，并排除故障。</w:t>
            </w:r>
          </w:p>
          <w:p w14:paraId="7FC779C9">
            <w:pPr>
              <w:spacing w:line="480" w:lineRule="exact"/>
              <w:rPr>
                <w:rFonts w:ascii="宋体" w:hAnsi="宋体"/>
                <w:sz w:val="24"/>
              </w:rPr>
            </w:pPr>
            <w:r>
              <w:rPr>
                <w:rFonts w:hint="eastAsia" w:ascii="宋体" w:hAnsi="宋体"/>
                <w:sz w:val="24"/>
              </w:rPr>
              <w:t>3.</w:t>
            </w:r>
            <w:r>
              <w:rPr>
                <w:rFonts w:hint="eastAsia" w:ascii="宋体" w:hAnsi="宋体"/>
                <w:sz w:val="24"/>
                <w:lang w:eastAsia="zh-CN"/>
              </w:rPr>
              <w:t>中标方</w:t>
            </w:r>
            <w:r>
              <w:rPr>
                <w:rFonts w:hint="eastAsia" w:ascii="宋体" w:hAnsi="宋体"/>
                <w:sz w:val="24"/>
              </w:rPr>
              <w:t>向</w:t>
            </w:r>
            <w:r>
              <w:rPr>
                <w:rFonts w:hint="eastAsia" w:ascii="宋体" w:hAnsi="宋体"/>
                <w:sz w:val="24"/>
                <w:lang w:eastAsia="zh-CN"/>
              </w:rPr>
              <w:t>采购方</w:t>
            </w:r>
            <w:r>
              <w:rPr>
                <w:rFonts w:hint="eastAsia" w:ascii="宋体" w:hAnsi="宋体"/>
                <w:sz w:val="24"/>
              </w:rPr>
              <w:t>提交详细的工作计划和工作安排，对每次检修、修养工作认真做好记录，并填写维保日志，由</w:t>
            </w:r>
            <w:r>
              <w:rPr>
                <w:rFonts w:hint="eastAsia" w:ascii="宋体" w:hAnsi="宋体"/>
                <w:sz w:val="24"/>
                <w:lang w:eastAsia="zh-CN"/>
              </w:rPr>
              <w:t>采购方</w:t>
            </w:r>
            <w:r>
              <w:rPr>
                <w:rFonts w:hint="eastAsia" w:ascii="宋体" w:hAnsi="宋体"/>
                <w:sz w:val="24"/>
              </w:rPr>
              <w:t>相关管理人员签字确认。（</w:t>
            </w:r>
            <w:r>
              <w:rPr>
                <w:rFonts w:hint="eastAsia" w:ascii="宋体" w:hAnsi="宋体"/>
                <w:sz w:val="24"/>
                <w:lang w:eastAsia="zh-CN"/>
              </w:rPr>
              <w:t>采购方</w:t>
            </w:r>
            <w:r>
              <w:rPr>
                <w:rFonts w:hint="eastAsia" w:ascii="宋体" w:hAnsi="宋体"/>
                <w:sz w:val="24"/>
              </w:rPr>
              <w:t>也可应事所需对</w:t>
            </w:r>
            <w:r>
              <w:rPr>
                <w:rFonts w:hint="eastAsia" w:ascii="宋体" w:hAnsi="宋体"/>
                <w:sz w:val="24"/>
                <w:lang w:eastAsia="zh-CN"/>
              </w:rPr>
              <w:t>中标方</w:t>
            </w:r>
            <w:r>
              <w:rPr>
                <w:rFonts w:hint="eastAsia" w:ascii="宋体" w:hAnsi="宋体"/>
                <w:sz w:val="24"/>
              </w:rPr>
              <w:t>工作计划做出调整）</w:t>
            </w:r>
          </w:p>
          <w:p w14:paraId="182BD3F3">
            <w:pPr>
              <w:spacing w:line="480" w:lineRule="exact"/>
              <w:rPr>
                <w:rFonts w:ascii="宋体" w:hAnsi="宋体"/>
                <w:sz w:val="24"/>
              </w:rPr>
            </w:pPr>
            <w:r>
              <w:rPr>
                <w:rFonts w:hint="eastAsia" w:ascii="宋体" w:hAnsi="宋体"/>
                <w:sz w:val="24"/>
              </w:rPr>
              <w:t>4.</w:t>
            </w:r>
            <w:r>
              <w:rPr>
                <w:rFonts w:hint="eastAsia" w:ascii="宋体" w:hAnsi="宋体"/>
                <w:sz w:val="24"/>
                <w:lang w:eastAsia="zh-CN"/>
              </w:rPr>
              <w:t>中标方</w:t>
            </w:r>
            <w:r>
              <w:rPr>
                <w:rFonts w:hint="eastAsia" w:ascii="宋体" w:hAnsi="宋体"/>
                <w:sz w:val="24"/>
              </w:rPr>
              <w:t>应切实加强现场管理，确保安全生产，在检修保养过程中发生的人身安全及第三者事故，由</w:t>
            </w:r>
            <w:r>
              <w:rPr>
                <w:rFonts w:hint="eastAsia" w:ascii="宋体" w:hAnsi="宋体"/>
                <w:sz w:val="24"/>
                <w:lang w:eastAsia="zh-CN"/>
              </w:rPr>
              <w:t>中标方</w:t>
            </w:r>
            <w:r>
              <w:rPr>
                <w:rFonts w:hint="eastAsia" w:ascii="宋体" w:hAnsi="宋体"/>
                <w:sz w:val="24"/>
              </w:rPr>
              <w:t>承担所有责任。</w:t>
            </w:r>
          </w:p>
          <w:p w14:paraId="77827882">
            <w:pPr>
              <w:spacing w:line="480" w:lineRule="exact"/>
              <w:rPr>
                <w:rFonts w:ascii="宋体" w:hAnsi="宋体"/>
                <w:b/>
                <w:sz w:val="24"/>
                <w:szCs w:val="24"/>
              </w:rPr>
            </w:pPr>
            <w:r>
              <w:rPr>
                <w:rFonts w:hint="eastAsia" w:ascii="宋体" w:hAnsi="宋体"/>
                <w:sz w:val="24"/>
              </w:rPr>
              <w:t>5</w:t>
            </w:r>
            <w:r>
              <w:rPr>
                <w:rFonts w:hint="eastAsia" w:ascii="宋体" w:hAnsi="宋体"/>
                <w:sz w:val="24"/>
                <w:lang w:eastAsia="zh-CN"/>
              </w:rPr>
              <w:t>中标方</w:t>
            </w:r>
            <w:r>
              <w:rPr>
                <w:rFonts w:hint="eastAsia" w:ascii="宋体" w:hAnsi="宋体"/>
                <w:sz w:val="24"/>
              </w:rPr>
              <w:t>不得将相关信息进行查询、下载挪作他用，不得泄露用户方工作秘密且</w:t>
            </w:r>
            <w:r>
              <w:rPr>
                <w:rFonts w:hint="eastAsia" w:ascii="宋体" w:hAnsi="宋体"/>
                <w:sz w:val="24"/>
                <w:lang w:eastAsia="zh-CN"/>
              </w:rPr>
              <w:t>采购方</w:t>
            </w:r>
            <w:r>
              <w:rPr>
                <w:rFonts w:hint="eastAsia" w:ascii="宋体" w:hAnsi="宋体"/>
                <w:sz w:val="24"/>
              </w:rPr>
              <w:t>的其它售后服务承诺属于本合同的一部分，如果有不同约定的，以服务水平和层级更高的为准。</w:t>
            </w:r>
          </w:p>
        </w:tc>
        <w:tc>
          <w:tcPr>
            <w:tcW w:w="502" w:type="pct"/>
            <w:tcBorders>
              <w:top w:val="single" w:color="auto" w:sz="4" w:space="0"/>
              <w:left w:val="single" w:color="auto" w:sz="4" w:space="0"/>
              <w:bottom w:val="single" w:color="auto" w:sz="4" w:space="0"/>
              <w:right w:val="single" w:color="auto" w:sz="4" w:space="0"/>
            </w:tcBorders>
            <w:noWrap w:val="0"/>
            <w:vAlign w:val="center"/>
          </w:tcPr>
          <w:p w14:paraId="41FE4F5C">
            <w:pPr>
              <w:spacing w:line="480" w:lineRule="exact"/>
              <w:jc w:val="center"/>
              <w:rPr>
                <w:rFonts w:ascii="宋体" w:hAnsi="宋体" w:cs="宋体"/>
                <w:b/>
                <w:bCs/>
                <w:sz w:val="24"/>
                <w:szCs w:val="24"/>
              </w:rPr>
            </w:pPr>
          </w:p>
        </w:tc>
      </w:tr>
    </w:tbl>
    <w:p w14:paraId="27BADD3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bCs/>
          <w:spacing w:val="2"/>
          <w:sz w:val="24"/>
          <w:szCs w:val="24"/>
          <w:lang w:val="zh-CN"/>
        </w:rPr>
      </w:pPr>
    </w:p>
    <w:p w14:paraId="21E3C286">
      <w:pPr>
        <w:pStyle w:val="2"/>
        <w:pageBreakBefore w:val="0"/>
        <w:widowControl w:val="0"/>
        <w:kinsoku/>
        <w:wordWrap/>
        <w:overflowPunct/>
        <w:topLinePunct w:val="0"/>
        <w:autoSpaceDE/>
        <w:autoSpaceDN/>
        <w:bidi w:val="0"/>
        <w:adjustRightInd/>
        <w:snapToGrid/>
        <w:spacing w:before="0" w:after="0" w:line="360" w:lineRule="auto"/>
        <w:textAlignment w:val="auto"/>
        <w:rPr>
          <w:rFonts w:ascii="宋体" w:hAnsi="宋体" w:cs="宋体"/>
          <w:color w:val="000000"/>
          <w:sz w:val="24"/>
          <w:szCs w:val="24"/>
          <w:lang w:eastAsia="zh-CN"/>
        </w:rPr>
      </w:pPr>
      <w:bookmarkStart w:id="5" w:name="_Toc19962"/>
      <w:bookmarkStart w:id="6" w:name="_Toc5345"/>
      <w:bookmarkStart w:id="7" w:name="_Toc3799"/>
      <w:bookmarkStart w:id="8" w:name="_Toc163068561"/>
      <w:r>
        <w:rPr>
          <w:rFonts w:hint="eastAsia" w:ascii="宋体" w:hAnsi="宋体" w:cs="宋体"/>
          <w:color w:val="000000"/>
          <w:sz w:val="24"/>
          <w:szCs w:val="24"/>
          <w:lang w:val="en-US" w:eastAsia="zh-CN"/>
        </w:rPr>
        <w:t>四</w:t>
      </w:r>
      <w:r>
        <w:rPr>
          <w:rFonts w:hint="eastAsia" w:ascii="宋体" w:hAnsi="宋体" w:cs="宋体"/>
          <w:color w:val="000000"/>
          <w:sz w:val="24"/>
          <w:szCs w:val="24"/>
          <w:lang w:eastAsia="zh-CN"/>
        </w:rPr>
        <w:t>、商务要求</w:t>
      </w:r>
      <w:bookmarkEnd w:id="5"/>
      <w:bookmarkEnd w:id="6"/>
      <w:bookmarkEnd w:id="7"/>
      <w:bookmarkEnd w:id="8"/>
    </w:p>
    <w:tbl>
      <w:tblPr>
        <w:tblStyle w:val="13"/>
        <w:tblW w:w="501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87"/>
        <w:gridCol w:w="737"/>
        <w:gridCol w:w="1174"/>
        <w:gridCol w:w="4596"/>
        <w:gridCol w:w="1347"/>
      </w:tblGrid>
      <w:tr w14:paraId="68119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92" w:type="pct"/>
            <w:tcBorders>
              <w:top w:val="single" w:color="auto" w:sz="4" w:space="0"/>
              <w:left w:val="single" w:color="auto" w:sz="4" w:space="0"/>
              <w:bottom w:val="single" w:color="auto" w:sz="4" w:space="0"/>
              <w:right w:val="single" w:color="auto" w:sz="4" w:space="0"/>
            </w:tcBorders>
            <w:noWrap w:val="0"/>
            <w:vAlign w:val="center"/>
          </w:tcPr>
          <w:p w14:paraId="5A55B6E2">
            <w:pPr>
              <w:spacing w:line="460" w:lineRule="exact"/>
              <w:jc w:val="center"/>
              <w:rPr>
                <w:rFonts w:ascii="宋体" w:hAnsi="宋体" w:cs="宋体"/>
                <w:b/>
                <w:color w:val="000000"/>
                <w:spacing w:val="-1"/>
                <w:sz w:val="22"/>
                <w:szCs w:val="22"/>
                <w:lang w:val="zh-CN"/>
              </w:rPr>
            </w:pPr>
            <w:r>
              <w:rPr>
                <w:rFonts w:hint="eastAsia" w:ascii="宋体" w:hAnsi="宋体" w:cs="宋体"/>
                <w:b/>
                <w:color w:val="000000"/>
                <w:sz w:val="22"/>
                <w:szCs w:val="22"/>
                <w:lang w:val="zh-CN"/>
              </w:rPr>
              <w:t>序号</w:t>
            </w:r>
          </w:p>
        </w:tc>
        <w:tc>
          <w:tcPr>
            <w:tcW w:w="442" w:type="pct"/>
            <w:tcBorders>
              <w:top w:val="single" w:color="auto" w:sz="4" w:space="0"/>
              <w:left w:val="single" w:color="auto" w:sz="4" w:space="0"/>
              <w:bottom w:val="single" w:color="auto" w:sz="4" w:space="0"/>
              <w:right w:val="single" w:color="auto" w:sz="4" w:space="0"/>
            </w:tcBorders>
            <w:noWrap w:val="0"/>
            <w:vAlign w:val="center"/>
          </w:tcPr>
          <w:p w14:paraId="1272CB6E">
            <w:pPr>
              <w:spacing w:line="460" w:lineRule="exact"/>
              <w:jc w:val="center"/>
              <w:rPr>
                <w:rFonts w:ascii="宋体" w:hAnsi="宋体" w:cs="宋体"/>
                <w:b/>
                <w:color w:val="000000"/>
                <w:spacing w:val="-1"/>
                <w:sz w:val="22"/>
                <w:szCs w:val="22"/>
                <w:lang w:val="zh-CN"/>
              </w:rPr>
            </w:pPr>
            <w:r>
              <w:rPr>
                <w:rFonts w:hint="eastAsia" w:ascii="宋体" w:hAnsi="宋体" w:cs="宋体"/>
                <w:b/>
                <w:color w:val="000000"/>
                <w:sz w:val="22"/>
                <w:szCs w:val="22"/>
                <w:lang w:val="zh-CN"/>
              </w:rPr>
              <w:t>重要性</w:t>
            </w:r>
          </w:p>
        </w:tc>
        <w:tc>
          <w:tcPr>
            <w:tcW w:w="704" w:type="pct"/>
            <w:tcBorders>
              <w:top w:val="single" w:color="auto" w:sz="4" w:space="0"/>
              <w:left w:val="single" w:color="auto" w:sz="4" w:space="0"/>
              <w:bottom w:val="single" w:color="auto" w:sz="4" w:space="0"/>
              <w:right w:val="single" w:color="auto" w:sz="4" w:space="0"/>
            </w:tcBorders>
            <w:noWrap w:val="0"/>
            <w:vAlign w:val="center"/>
          </w:tcPr>
          <w:p w14:paraId="77C9DA8F">
            <w:pPr>
              <w:spacing w:line="460" w:lineRule="exact"/>
              <w:jc w:val="center"/>
              <w:rPr>
                <w:rFonts w:ascii="宋体" w:hAnsi="宋体" w:cs="宋体"/>
                <w:b/>
                <w:color w:val="000000"/>
                <w:spacing w:val="-1"/>
                <w:sz w:val="22"/>
                <w:szCs w:val="22"/>
                <w:lang w:val="zh-CN"/>
              </w:rPr>
            </w:pPr>
            <w:r>
              <w:rPr>
                <w:rFonts w:hint="eastAsia" w:ascii="宋体" w:hAnsi="宋体" w:cs="宋体"/>
                <w:b/>
                <w:color w:val="000000"/>
                <w:sz w:val="22"/>
                <w:szCs w:val="22"/>
                <w:lang w:val="zh-CN"/>
              </w:rPr>
              <w:t>指标项</w:t>
            </w:r>
          </w:p>
        </w:tc>
        <w:tc>
          <w:tcPr>
            <w:tcW w:w="2755" w:type="pct"/>
            <w:tcBorders>
              <w:top w:val="single" w:color="auto" w:sz="4" w:space="0"/>
              <w:left w:val="single" w:color="auto" w:sz="4" w:space="0"/>
              <w:bottom w:val="single" w:color="auto" w:sz="4" w:space="0"/>
              <w:right w:val="single" w:color="auto" w:sz="4" w:space="0"/>
            </w:tcBorders>
            <w:noWrap w:val="0"/>
            <w:vAlign w:val="center"/>
          </w:tcPr>
          <w:p w14:paraId="4190F3BE">
            <w:pPr>
              <w:spacing w:line="460" w:lineRule="exact"/>
              <w:jc w:val="center"/>
              <w:rPr>
                <w:rFonts w:ascii="宋体" w:hAnsi="宋体" w:cs="宋体"/>
                <w:b/>
                <w:color w:val="000000"/>
                <w:spacing w:val="-1"/>
                <w:sz w:val="22"/>
                <w:szCs w:val="22"/>
                <w:lang w:val="zh-CN"/>
              </w:rPr>
            </w:pPr>
            <w:r>
              <w:rPr>
                <w:rFonts w:hint="eastAsia" w:ascii="宋体" w:hAnsi="宋体" w:cs="宋体"/>
                <w:b/>
                <w:color w:val="000000"/>
                <w:sz w:val="22"/>
                <w:szCs w:val="22"/>
                <w:lang w:val="zh-CN"/>
              </w:rPr>
              <w:t>指标要求</w:t>
            </w:r>
          </w:p>
        </w:tc>
        <w:tc>
          <w:tcPr>
            <w:tcW w:w="807" w:type="pct"/>
            <w:tcBorders>
              <w:top w:val="single" w:color="auto" w:sz="4" w:space="0"/>
              <w:left w:val="single" w:color="auto" w:sz="4" w:space="0"/>
              <w:bottom w:val="single" w:color="auto" w:sz="4" w:space="0"/>
              <w:right w:val="single" w:color="auto" w:sz="4" w:space="0"/>
            </w:tcBorders>
            <w:noWrap w:val="0"/>
            <w:vAlign w:val="center"/>
          </w:tcPr>
          <w:p w14:paraId="5884EBD9">
            <w:pPr>
              <w:spacing w:line="460" w:lineRule="exact"/>
              <w:jc w:val="center"/>
              <w:rPr>
                <w:rFonts w:ascii="宋体" w:hAnsi="宋体" w:cs="宋体"/>
                <w:b/>
                <w:color w:val="000000"/>
                <w:spacing w:val="-1"/>
                <w:sz w:val="22"/>
                <w:szCs w:val="22"/>
                <w:lang w:val="zh-CN"/>
              </w:rPr>
            </w:pPr>
            <w:r>
              <w:rPr>
                <w:rFonts w:hint="eastAsia" w:ascii="宋体" w:hAnsi="宋体" w:cs="宋体"/>
                <w:b/>
                <w:color w:val="000000"/>
                <w:sz w:val="22"/>
                <w:szCs w:val="22"/>
              </w:rPr>
              <w:t>证明材料要求</w:t>
            </w:r>
          </w:p>
        </w:tc>
      </w:tr>
      <w:tr w14:paraId="635C5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292" w:type="pct"/>
            <w:tcBorders>
              <w:top w:val="single" w:color="auto" w:sz="4" w:space="0"/>
              <w:left w:val="single" w:color="auto" w:sz="4" w:space="0"/>
              <w:bottom w:val="single" w:color="auto" w:sz="4" w:space="0"/>
              <w:right w:val="single" w:color="auto" w:sz="4" w:space="0"/>
            </w:tcBorders>
            <w:noWrap w:val="0"/>
            <w:vAlign w:val="center"/>
          </w:tcPr>
          <w:p w14:paraId="76EEF16E">
            <w:pPr>
              <w:spacing w:line="460" w:lineRule="exact"/>
              <w:jc w:val="center"/>
              <w:rPr>
                <w:rFonts w:ascii="宋体" w:hAnsi="宋体" w:cs="宋体"/>
                <w:color w:val="000000"/>
                <w:spacing w:val="-1"/>
                <w:sz w:val="22"/>
                <w:szCs w:val="22"/>
                <w:lang w:val="zh-CN"/>
              </w:rPr>
            </w:pPr>
            <w:r>
              <w:rPr>
                <w:rFonts w:hint="eastAsia" w:ascii="宋体" w:hAnsi="宋体" w:cs="宋体"/>
                <w:color w:val="000000"/>
                <w:sz w:val="22"/>
                <w:szCs w:val="22"/>
                <w:lang w:val="zh-CN"/>
              </w:rPr>
              <w:t>1</w:t>
            </w:r>
          </w:p>
        </w:tc>
        <w:tc>
          <w:tcPr>
            <w:tcW w:w="442" w:type="pct"/>
            <w:tcBorders>
              <w:top w:val="single" w:color="auto" w:sz="4" w:space="0"/>
              <w:left w:val="single" w:color="auto" w:sz="4" w:space="0"/>
              <w:bottom w:val="single" w:color="auto" w:sz="4" w:space="0"/>
              <w:right w:val="single" w:color="auto" w:sz="4" w:space="0"/>
            </w:tcBorders>
            <w:noWrap w:val="0"/>
            <w:vAlign w:val="center"/>
          </w:tcPr>
          <w:p w14:paraId="376626E1">
            <w:pPr>
              <w:spacing w:line="460" w:lineRule="exact"/>
              <w:jc w:val="center"/>
              <w:rPr>
                <w:rFonts w:ascii="宋体" w:hAnsi="宋体" w:cs="宋体"/>
                <w:color w:val="000000"/>
                <w:spacing w:val="-1"/>
                <w:sz w:val="22"/>
                <w:szCs w:val="22"/>
                <w:lang w:val="zh-CN"/>
              </w:rPr>
            </w:pPr>
            <w:r>
              <w:rPr>
                <w:rFonts w:hint="eastAsia" w:ascii="宋体" w:hAnsi="宋体" w:cs="宋体"/>
                <w:color w:val="000000"/>
                <w:sz w:val="22"/>
                <w:szCs w:val="22"/>
                <w:lang w:val="zh-CN"/>
              </w:rPr>
              <w:t>★</w:t>
            </w:r>
          </w:p>
        </w:tc>
        <w:tc>
          <w:tcPr>
            <w:tcW w:w="704" w:type="pct"/>
            <w:tcBorders>
              <w:top w:val="single" w:color="auto" w:sz="4" w:space="0"/>
              <w:left w:val="single" w:color="auto" w:sz="4" w:space="0"/>
              <w:bottom w:val="single" w:color="auto" w:sz="4" w:space="0"/>
              <w:right w:val="single" w:color="auto" w:sz="4" w:space="0"/>
            </w:tcBorders>
            <w:noWrap w:val="0"/>
            <w:vAlign w:val="center"/>
          </w:tcPr>
          <w:p w14:paraId="1896A464">
            <w:pPr>
              <w:spacing w:line="460" w:lineRule="exact"/>
              <w:ind w:left="42" w:leftChars="20" w:right="42" w:rightChars="20"/>
              <w:jc w:val="center"/>
              <w:rPr>
                <w:rFonts w:ascii="宋体" w:hAnsi="宋体" w:cs="宋体"/>
                <w:color w:val="000000"/>
                <w:sz w:val="22"/>
                <w:szCs w:val="22"/>
              </w:rPr>
            </w:pPr>
            <w:r>
              <w:rPr>
                <w:rFonts w:hint="eastAsia" w:ascii="宋体" w:hAnsi="宋体" w:cs="宋体"/>
                <w:color w:val="000000"/>
                <w:sz w:val="22"/>
                <w:szCs w:val="22"/>
                <w:lang w:val="zh-CN"/>
              </w:rPr>
              <w:t>服务期</w:t>
            </w:r>
          </w:p>
        </w:tc>
        <w:tc>
          <w:tcPr>
            <w:tcW w:w="2755" w:type="pct"/>
            <w:tcBorders>
              <w:top w:val="single" w:color="auto" w:sz="4" w:space="0"/>
              <w:left w:val="single" w:color="auto" w:sz="4" w:space="0"/>
              <w:bottom w:val="single" w:color="auto" w:sz="4" w:space="0"/>
              <w:right w:val="single" w:color="auto" w:sz="4" w:space="0"/>
            </w:tcBorders>
            <w:noWrap w:val="0"/>
            <w:vAlign w:val="center"/>
          </w:tcPr>
          <w:p w14:paraId="5174DD4B">
            <w:pPr>
              <w:spacing w:line="460" w:lineRule="exact"/>
              <w:rPr>
                <w:rFonts w:ascii="宋体" w:hAnsi="宋体" w:cs="宋体"/>
                <w:color w:val="000000"/>
                <w:sz w:val="22"/>
                <w:szCs w:val="22"/>
              </w:rPr>
            </w:pPr>
            <w:r>
              <w:rPr>
                <w:rFonts w:hint="eastAsia" w:ascii="宋体" w:hAnsi="宋体"/>
                <w:sz w:val="22"/>
                <w:szCs w:val="22"/>
              </w:rPr>
              <w:t>合同签订之日起至202</w:t>
            </w:r>
            <w:r>
              <w:rPr>
                <w:rFonts w:hint="eastAsia" w:ascii="宋体" w:hAnsi="宋体"/>
                <w:sz w:val="22"/>
                <w:szCs w:val="22"/>
                <w:lang w:val="en-US" w:eastAsia="zh-CN"/>
              </w:rPr>
              <w:t>6</w:t>
            </w:r>
            <w:r>
              <w:rPr>
                <w:rFonts w:hint="eastAsia" w:ascii="宋体" w:hAnsi="宋体"/>
                <w:sz w:val="22"/>
                <w:szCs w:val="22"/>
              </w:rPr>
              <w:t>年12月</w:t>
            </w:r>
            <w:r>
              <w:rPr>
                <w:rFonts w:hint="eastAsia" w:ascii="宋体" w:hAnsi="宋体"/>
                <w:sz w:val="22"/>
                <w:szCs w:val="22"/>
                <w:lang w:val="en-US" w:eastAsia="zh-CN"/>
              </w:rPr>
              <w:t>10</w:t>
            </w:r>
            <w:r>
              <w:rPr>
                <w:rFonts w:hint="eastAsia" w:ascii="宋体" w:hAnsi="宋体"/>
                <w:sz w:val="22"/>
                <w:szCs w:val="22"/>
              </w:rPr>
              <w:t>日</w:t>
            </w:r>
            <w:r>
              <w:rPr>
                <w:rFonts w:hint="eastAsia" w:ascii="宋体" w:hAnsi="宋体" w:cs="宋体"/>
                <w:color w:val="000000"/>
                <w:sz w:val="22"/>
                <w:szCs w:val="22"/>
              </w:rPr>
              <w:t>。</w:t>
            </w:r>
            <w:r>
              <w:rPr>
                <w:rFonts w:hint="eastAsia" w:ascii="宋体" w:hAnsi="宋体" w:cs="宋体"/>
                <w:sz w:val="22"/>
                <w:szCs w:val="22"/>
                <w:lang w:val="zh-CN"/>
              </w:rPr>
              <w:t>中标方应保证在要求时间内</w:t>
            </w:r>
            <w:r>
              <w:rPr>
                <w:rFonts w:hint="eastAsia" w:ascii="宋体" w:hAnsi="宋体" w:cs="宋体"/>
                <w:sz w:val="22"/>
                <w:szCs w:val="22"/>
              </w:rPr>
              <w:t>按标准</w:t>
            </w:r>
            <w:r>
              <w:rPr>
                <w:rFonts w:hint="eastAsia" w:ascii="宋体" w:hAnsi="宋体" w:cs="宋体"/>
                <w:sz w:val="22"/>
                <w:szCs w:val="22"/>
                <w:lang w:val="zh-CN"/>
              </w:rPr>
              <w:t>完成全部</w:t>
            </w:r>
            <w:r>
              <w:rPr>
                <w:rFonts w:hint="eastAsia" w:ascii="宋体" w:hAnsi="宋体" w:cs="宋体"/>
                <w:sz w:val="22"/>
                <w:szCs w:val="22"/>
              </w:rPr>
              <w:t>维保</w:t>
            </w:r>
            <w:r>
              <w:rPr>
                <w:rFonts w:hint="eastAsia" w:ascii="宋体" w:hAnsi="宋体" w:cs="宋体"/>
                <w:sz w:val="22"/>
                <w:szCs w:val="22"/>
                <w:lang w:val="zh-CN"/>
              </w:rPr>
              <w:t>工作,符合国家标准、行业规范和合同等相关文件的要求。</w:t>
            </w:r>
          </w:p>
        </w:tc>
        <w:tc>
          <w:tcPr>
            <w:tcW w:w="807" w:type="pct"/>
            <w:tcBorders>
              <w:top w:val="single" w:color="auto" w:sz="4" w:space="0"/>
              <w:left w:val="single" w:color="auto" w:sz="4" w:space="0"/>
              <w:bottom w:val="single" w:color="auto" w:sz="4" w:space="0"/>
              <w:right w:val="single" w:color="auto" w:sz="4" w:space="0"/>
            </w:tcBorders>
            <w:noWrap w:val="0"/>
            <w:vAlign w:val="center"/>
          </w:tcPr>
          <w:p w14:paraId="61A4E455">
            <w:pPr>
              <w:spacing w:line="460" w:lineRule="exact"/>
              <w:jc w:val="center"/>
              <w:rPr>
                <w:rFonts w:ascii="宋体" w:hAnsi="宋体" w:cs="宋体"/>
                <w:color w:val="000000"/>
                <w:spacing w:val="-1"/>
                <w:sz w:val="22"/>
                <w:szCs w:val="22"/>
                <w:lang w:val="zh-CN"/>
              </w:rPr>
            </w:pPr>
            <w:r>
              <w:rPr>
                <w:rFonts w:hint="eastAsia" w:ascii="宋体" w:hAnsi="宋体" w:cs="宋体"/>
                <w:color w:val="000000"/>
                <w:sz w:val="22"/>
                <w:szCs w:val="22"/>
              </w:rPr>
              <w:t>商务要求响应/偏离表</w:t>
            </w:r>
          </w:p>
        </w:tc>
      </w:tr>
      <w:tr w14:paraId="4DE4A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292" w:type="pct"/>
            <w:tcBorders>
              <w:top w:val="single" w:color="auto" w:sz="4" w:space="0"/>
              <w:left w:val="single" w:color="auto" w:sz="4" w:space="0"/>
              <w:bottom w:val="single" w:color="auto" w:sz="4" w:space="0"/>
              <w:right w:val="single" w:color="auto" w:sz="4" w:space="0"/>
            </w:tcBorders>
            <w:noWrap w:val="0"/>
            <w:vAlign w:val="center"/>
          </w:tcPr>
          <w:p w14:paraId="0FF3BF64">
            <w:pPr>
              <w:spacing w:line="460" w:lineRule="exact"/>
              <w:jc w:val="center"/>
              <w:rPr>
                <w:rFonts w:ascii="宋体" w:hAnsi="宋体" w:cs="宋体"/>
                <w:color w:val="000000"/>
                <w:spacing w:val="-1"/>
                <w:sz w:val="22"/>
                <w:szCs w:val="22"/>
              </w:rPr>
            </w:pPr>
            <w:r>
              <w:rPr>
                <w:rFonts w:hint="eastAsia" w:ascii="宋体" w:hAnsi="宋体" w:cs="宋体"/>
                <w:color w:val="000000"/>
                <w:sz w:val="22"/>
                <w:szCs w:val="22"/>
              </w:rPr>
              <w:t>2</w:t>
            </w:r>
          </w:p>
        </w:tc>
        <w:tc>
          <w:tcPr>
            <w:tcW w:w="442" w:type="pct"/>
            <w:tcBorders>
              <w:top w:val="single" w:color="auto" w:sz="4" w:space="0"/>
              <w:left w:val="single" w:color="auto" w:sz="4" w:space="0"/>
              <w:bottom w:val="single" w:color="auto" w:sz="4" w:space="0"/>
              <w:right w:val="single" w:color="auto" w:sz="4" w:space="0"/>
            </w:tcBorders>
            <w:noWrap w:val="0"/>
            <w:vAlign w:val="center"/>
          </w:tcPr>
          <w:p w14:paraId="4469EF71">
            <w:pPr>
              <w:spacing w:line="460" w:lineRule="exact"/>
              <w:jc w:val="center"/>
              <w:rPr>
                <w:rFonts w:ascii="宋体" w:hAnsi="宋体" w:cs="宋体"/>
                <w:color w:val="000000"/>
                <w:spacing w:val="-1"/>
                <w:sz w:val="22"/>
                <w:szCs w:val="22"/>
                <w:lang w:val="zh-CN"/>
              </w:rPr>
            </w:pPr>
            <w:r>
              <w:rPr>
                <w:rFonts w:hint="eastAsia" w:ascii="宋体" w:hAnsi="宋体" w:cs="宋体"/>
                <w:color w:val="000000"/>
                <w:sz w:val="22"/>
                <w:szCs w:val="22"/>
                <w:lang w:val="zh-CN"/>
              </w:rPr>
              <w:t>★</w:t>
            </w:r>
          </w:p>
        </w:tc>
        <w:tc>
          <w:tcPr>
            <w:tcW w:w="704" w:type="pct"/>
            <w:tcBorders>
              <w:top w:val="single" w:color="auto" w:sz="4" w:space="0"/>
              <w:left w:val="single" w:color="auto" w:sz="4" w:space="0"/>
              <w:bottom w:val="single" w:color="auto" w:sz="4" w:space="0"/>
              <w:right w:val="single" w:color="auto" w:sz="4" w:space="0"/>
            </w:tcBorders>
            <w:noWrap w:val="0"/>
            <w:vAlign w:val="center"/>
          </w:tcPr>
          <w:p w14:paraId="237EF736">
            <w:pPr>
              <w:spacing w:line="460" w:lineRule="exact"/>
              <w:ind w:left="42" w:leftChars="20" w:right="42" w:rightChars="20"/>
              <w:jc w:val="center"/>
              <w:rPr>
                <w:rFonts w:ascii="宋体" w:hAnsi="宋体" w:cs="宋体"/>
                <w:color w:val="000000"/>
                <w:sz w:val="22"/>
                <w:szCs w:val="22"/>
                <w:lang w:val="zh-CN"/>
              </w:rPr>
            </w:pPr>
            <w:r>
              <w:rPr>
                <w:rFonts w:hint="eastAsia" w:ascii="宋体" w:hAnsi="宋体" w:cs="宋体"/>
                <w:color w:val="000000"/>
                <w:sz w:val="22"/>
                <w:szCs w:val="22"/>
              </w:rPr>
              <w:t>服务地点</w:t>
            </w:r>
          </w:p>
        </w:tc>
        <w:tc>
          <w:tcPr>
            <w:tcW w:w="2755" w:type="pct"/>
            <w:tcBorders>
              <w:top w:val="single" w:color="auto" w:sz="4" w:space="0"/>
              <w:left w:val="single" w:color="auto" w:sz="4" w:space="0"/>
              <w:bottom w:val="single" w:color="auto" w:sz="4" w:space="0"/>
              <w:right w:val="single" w:color="auto" w:sz="4" w:space="0"/>
            </w:tcBorders>
            <w:noWrap w:val="0"/>
            <w:vAlign w:val="center"/>
          </w:tcPr>
          <w:p w14:paraId="21ACD193">
            <w:pPr>
              <w:spacing w:line="460" w:lineRule="exact"/>
              <w:ind w:left="42" w:leftChars="20"/>
              <w:rPr>
                <w:rFonts w:ascii="宋体" w:hAnsi="宋体" w:cs="宋体"/>
                <w:color w:val="000000"/>
                <w:sz w:val="22"/>
                <w:szCs w:val="22"/>
              </w:rPr>
            </w:pPr>
            <w:r>
              <w:rPr>
                <w:rFonts w:hint="eastAsia" w:ascii="宋体" w:hAnsi="宋体" w:cs="宋体"/>
                <w:color w:val="000000"/>
                <w:sz w:val="22"/>
                <w:szCs w:val="22"/>
              </w:rPr>
              <w:t>南昌大学所有校区“前湖北校区、前湖南校区、青山湖校区、东湖校区”。</w:t>
            </w:r>
          </w:p>
        </w:tc>
        <w:tc>
          <w:tcPr>
            <w:tcW w:w="807" w:type="pct"/>
            <w:tcBorders>
              <w:top w:val="single" w:color="auto" w:sz="4" w:space="0"/>
              <w:left w:val="single" w:color="auto" w:sz="4" w:space="0"/>
              <w:bottom w:val="single" w:color="auto" w:sz="4" w:space="0"/>
              <w:right w:val="single" w:color="auto" w:sz="4" w:space="0"/>
            </w:tcBorders>
            <w:noWrap w:val="0"/>
            <w:vAlign w:val="center"/>
          </w:tcPr>
          <w:p w14:paraId="2CA8A0E4">
            <w:pPr>
              <w:spacing w:line="460" w:lineRule="exact"/>
              <w:jc w:val="center"/>
              <w:rPr>
                <w:rFonts w:ascii="宋体" w:hAnsi="宋体" w:cs="宋体"/>
                <w:color w:val="000000"/>
                <w:spacing w:val="-1"/>
                <w:sz w:val="22"/>
                <w:szCs w:val="22"/>
                <w:lang w:val="zh-CN"/>
              </w:rPr>
            </w:pPr>
            <w:r>
              <w:rPr>
                <w:rFonts w:hint="eastAsia" w:ascii="宋体" w:hAnsi="宋体" w:cs="宋体"/>
                <w:color w:val="000000"/>
                <w:sz w:val="22"/>
                <w:szCs w:val="22"/>
              </w:rPr>
              <w:t>商务要求响应/偏离表</w:t>
            </w:r>
          </w:p>
        </w:tc>
      </w:tr>
      <w:tr w14:paraId="7DAC3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0" w:hRule="atLeast"/>
          <w:jc w:val="center"/>
        </w:trPr>
        <w:tc>
          <w:tcPr>
            <w:tcW w:w="292" w:type="pct"/>
            <w:tcBorders>
              <w:top w:val="single" w:color="auto" w:sz="4" w:space="0"/>
              <w:left w:val="single" w:color="auto" w:sz="4" w:space="0"/>
              <w:right w:val="single" w:color="auto" w:sz="4" w:space="0"/>
            </w:tcBorders>
            <w:noWrap w:val="0"/>
            <w:vAlign w:val="center"/>
          </w:tcPr>
          <w:p w14:paraId="0A4460D1">
            <w:pPr>
              <w:spacing w:line="460" w:lineRule="exact"/>
              <w:jc w:val="center"/>
              <w:rPr>
                <w:rFonts w:ascii="宋体" w:hAnsi="宋体" w:cs="宋体"/>
                <w:color w:val="000000"/>
                <w:spacing w:val="-1"/>
                <w:sz w:val="22"/>
                <w:szCs w:val="22"/>
              </w:rPr>
            </w:pPr>
            <w:r>
              <w:rPr>
                <w:rFonts w:hint="eastAsia" w:ascii="宋体" w:hAnsi="宋体" w:cs="宋体"/>
                <w:color w:val="000000"/>
                <w:sz w:val="22"/>
                <w:szCs w:val="22"/>
              </w:rPr>
              <w:t>3</w:t>
            </w:r>
          </w:p>
        </w:tc>
        <w:tc>
          <w:tcPr>
            <w:tcW w:w="442" w:type="pct"/>
            <w:tcBorders>
              <w:top w:val="single" w:color="auto" w:sz="4" w:space="0"/>
              <w:left w:val="single" w:color="auto" w:sz="4" w:space="0"/>
              <w:right w:val="single" w:color="auto" w:sz="4" w:space="0"/>
            </w:tcBorders>
            <w:noWrap w:val="0"/>
            <w:vAlign w:val="center"/>
          </w:tcPr>
          <w:p w14:paraId="54B9771E">
            <w:pPr>
              <w:spacing w:line="460" w:lineRule="exact"/>
              <w:jc w:val="center"/>
              <w:rPr>
                <w:rFonts w:ascii="宋体" w:hAnsi="宋体" w:cs="宋体"/>
                <w:color w:val="000000"/>
                <w:spacing w:val="-1"/>
                <w:sz w:val="22"/>
                <w:szCs w:val="22"/>
                <w:lang w:val="zh-CN"/>
              </w:rPr>
            </w:pPr>
            <w:r>
              <w:rPr>
                <w:rFonts w:hint="eastAsia" w:ascii="宋体" w:hAnsi="宋体" w:cs="宋体"/>
                <w:color w:val="000000"/>
                <w:sz w:val="22"/>
                <w:szCs w:val="22"/>
                <w:lang w:val="zh-CN"/>
              </w:rPr>
              <w:t>★</w:t>
            </w:r>
          </w:p>
        </w:tc>
        <w:tc>
          <w:tcPr>
            <w:tcW w:w="704" w:type="pct"/>
            <w:tcBorders>
              <w:top w:val="single" w:color="auto" w:sz="4" w:space="0"/>
              <w:left w:val="single" w:color="auto" w:sz="4" w:space="0"/>
              <w:right w:val="single" w:color="auto" w:sz="4" w:space="0"/>
            </w:tcBorders>
            <w:noWrap w:val="0"/>
            <w:vAlign w:val="center"/>
          </w:tcPr>
          <w:p w14:paraId="45694B95">
            <w:pPr>
              <w:spacing w:line="460" w:lineRule="exact"/>
              <w:ind w:left="42" w:leftChars="20" w:right="42" w:rightChars="20"/>
              <w:jc w:val="center"/>
              <w:rPr>
                <w:rFonts w:ascii="宋体" w:hAnsi="宋体" w:cs="宋体"/>
                <w:color w:val="000000"/>
                <w:sz w:val="22"/>
                <w:szCs w:val="22"/>
              </w:rPr>
            </w:pPr>
            <w:r>
              <w:rPr>
                <w:rFonts w:hint="eastAsia" w:ascii="宋体" w:hAnsi="宋体" w:cs="宋体"/>
                <w:color w:val="000000"/>
                <w:sz w:val="22"/>
                <w:szCs w:val="22"/>
              </w:rPr>
              <w:t>付款方式</w:t>
            </w:r>
          </w:p>
        </w:tc>
        <w:tc>
          <w:tcPr>
            <w:tcW w:w="2755" w:type="pct"/>
            <w:tcBorders>
              <w:top w:val="single" w:color="auto" w:sz="4" w:space="0"/>
              <w:left w:val="single" w:color="auto" w:sz="4" w:space="0"/>
              <w:right w:val="single" w:color="auto" w:sz="4" w:space="0"/>
            </w:tcBorders>
            <w:noWrap w:val="0"/>
            <w:vAlign w:val="center"/>
          </w:tcPr>
          <w:p w14:paraId="274B3332">
            <w:pPr>
              <w:spacing w:line="400" w:lineRule="exact"/>
              <w:rPr>
                <w:rFonts w:ascii="宋体" w:hAnsi="宋体" w:cs="宋体"/>
                <w:color w:val="000000"/>
                <w:sz w:val="22"/>
                <w:szCs w:val="22"/>
              </w:rPr>
            </w:pPr>
            <w:r>
              <w:rPr>
                <w:rFonts w:hint="eastAsia" w:ascii="宋体" w:hAnsi="宋体" w:cs="宋体"/>
                <w:color w:val="000000"/>
                <w:sz w:val="22"/>
                <w:szCs w:val="22"/>
              </w:rPr>
              <w:t>1.成交</w:t>
            </w:r>
            <w:r>
              <w:rPr>
                <w:rFonts w:hint="eastAsia" w:ascii="宋体" w:hAnsi="宋体" w:cs="宋体"/>
                <w:color w:val="000000"/>
                <w:sz w:val="22"/>
                <w:szCs w:val="22"/>
                <w:lang w:eastAsia="zh-CN"/>
              </w:rPr>
              <w:t>中标方</w:t>
            </w:r>
            <w:r>
              <w:rPr>
                <w:rFonts w:hint="eastAsia" w:ascii="宋体" w:hAnsi="宋体" w:cs="宋体"/>
                <w:color w:val="000000"/>
                <w:sz w:val="22"/>
                <w:szCs w:val="22"/>
              </w:rPr>
              <w:t>在与</w:t>
            </w:r>
            <w:r>
              <w:rPr>
                <w:rFonts w:hint="eastAsia" w:ascii="宋体" w:hAnsi="宋体" w:cs="宋体"/>
                <w:color w:val="000000"/>
                <w:sz w:val="22"/>
                <w:szCs w:val="22"/>
                <w:lang w:eastAsia="zh-CN"/>
              </w:rPr>
              <w:t>采购方</w:t>
            </w:r>
            <w:r>
              <w:rPr>
                <w:rFonts w:hint="eastAsia" w:ascii="宋体" w:hAnsi="宋体" w:cs="宋体"/>
                <w:color w:val="000000"/>
                <w:sz w:val="22"/>
                <w:szCs w:val="22"/>
              </w:rPr>
              <w:t>签订采购合同十个工作日内，应向</w:t>
            </w:r>
            <w:r>
              <w:rPr>
                <w:rFonts w:hint="eastAsia" w:ascii="宋体" w:hAnsi="宋体" w:cs="宋体"/>
                <w:color w:val="000000"/>
                <w:sz w:val="22"/>
                <w:szCs w:val="22"/>
                <w:lang w:eastAsia="zh-CN"/>
              </w:rPr>
              <w:t>采购方</w:t>
            </w:r>
            <w:r>
              <w:rPr>
                <w:rFonts w:hint="eastAsia" w:ascii="宋体" w:hAnsi="宋体" w:cs="宋体"/>
                <w:color w:val="000000"/>
                <w:sz w:val="22"/>
                <w:szCs w:val="22"/>
              </w:rPr>
              <w:t>提交5%的履约保证金。履约保证金按</w:t>
            </w:r>
            <w:r>
              <w:rPr>
                <w:rFonts w:hint="eastAsia" w:ascii="宋体" w:hAnsi="宋体" w:cs="宋体"/>
                <w:color w:val="000000"/>
                <w:sz w:val="22"/>
                <w:szCs w:val="22"/>
                <w:lang w:eastAsia="zh-CN"/>
              </w:rPr>
              <w:t>采购方</w:t>
            </w:r>
            <w:r>
              <w:rPr>
                <w:rFonts w:hint="eastAsia" w:ascii="宋体" w:hAnsi="宋体" w:cs="宋体"/>
                <w:color w:val="000000"/>
                <w:sz w:val="22"/>
                <w:szCs w:val="22"/>
              </w:rPr>
              <w:t>的要求汇入</w:t>
            </w:r>
            <w:r>
              <w:rPr>
                <w:rFonts w:hint="eastAsia" w:ascii="宋体" w:hAnsi="宋体" w:cs="宋体"/>
                <w:color w:val="000000"/>
                <w:sz w:val="22"/>
                <w:szCs w:val="22"/>
                <w:lang w:eastAsia="zh-CN"/>
              </w:rPr>
              <w:t>采购方</w:t>
            </w:r>
            <w:r>
              <w:rPr>
                <w:rFonts w:hint="eastAsia" w:ascii="宋体" w:hAnsi="宋体" w:cs="宋体"/>
                <w:color w:val="000000"/>
                <w:sz w:val="22"/>
                <w:szCs w:val="22"/>
              </w:rPr>
              <w:t>指定账户。本合同全部履约完成后，</w:t>
            </w:r>
            <w:r>
              <w:rPr>
                <w:rFonts w:hint="eastAsia" w:ascii="宋体" w:hAnsi="宋体" w:cs="宋体"/>
                <w:color w:val="000000"/>
                <w:sz w:val="22"/>
                <w:szCs w:val="22"/>
                <w:lang w:eastAsia="zh-CN"/>
              </w:rPr>
              <w:t>采购方</w:t>
            </w:r>
            <w:r>
              <w:rPr>
                <w:rFonts w:hint="eastAsia" w:ascii="宋体" w:hAnsi="宋体" w:cs="宋体"/>
                <w:color w:val="000000"/>
                <w:sz w:val="22"/>
                <w:szCs w:val="22"/>
              </w:rPr>
              <w:t>在30个工作日内向成交</w:t>
            </w:r>
            <w:r>
              <w:rPr>
                <w:rFonts w:hint="eastAsia" w:ascii="宋体" w:hAnsi="宋体" w:cs="宋体"/>
                <w:color w:val="000000"/>
                <w:sz w:val="22"/>
                <w:szCs w:val="22"/>
                <w:lang w:eastAsia="zh-CN"/>
              </w:rPr>
              <w:t>中标方</w:t>
            </w:r>
            <w:r>
              <w:rPr>
                <w:rFonts w:hint="eastAsia" w:ascii="宋体" w:hAnsi="宋体" w:cs="宋体"/>
                <w:color w:val="000000"/>
                <w:sz w:val="22"/>
                <w:szCs w:val="22"/>
              </w:rPr>
              <w:t>无息退还原履约保证金。合同履约完成后，一次性退还履约保证金，履约保证金不计利息；</w:t>
            </w:r>
          </w:p>
          <w:p w14:paraId="37FEE6DA">
            <w:pPr>
              <w:spacing w:line="460" w:lineRule="exact"/>
              <w:rPr>
                <w:rFonts w:ascii="宋体" w:hAnsi="宋体" w:cs="宋体"/>
                <w:color w:val="000000"/>
                <w:sz w:val="22"/>
                <w:szCs w:val="22"/>
              </w:rPr>
            </w:pPr>
            <w:r>
              <w:rPr>
                <w:rFonts w:hint="eastAsia" w:ascii="宋体" w:hAnsi="宋体"/>
                <w:sz w:val="22"/>
                <w:szCs w:val="22"/>
              </w:rPr>
              <w:t>2.</w:t>
            </w:r>
            <w:r>
              <w:rPr>
                <w:rFonts w:hint="eastAsia" w:ascii="宋体" w:hAnsi="宋体" w:cs="宋体"/>
                <w:color w:val="000000"/>
                <w:sz w:val="22"/>
                <w:szCs w:val="22"/>
              </w:rPr>
              <w:t>合同履约完成</w:t>
            </w:r>
            <w:r>
              <w:rPr>
                <w:rFonts w:hint="eastAsia" w:ascii="宋体" w:hAnsi="宋体" w:cs="宋体"/>
                <w:color w:val="000000"/>
                <w:sz w:val="22"/>
                <w:szCs w:val="22"/>
                <w:lang w:val="en-US" w:eastAsia="zh-CN"/>
              </w:rPr>
              <w:t>且</w:t>
            </w:r>
            <w:r>
              <w:rPr>
                <w:rFonts w:hint="eastAsia"/>
                <w:sz w:val="22"/>
                <w:szCs w:val="22"/>
              </w:rPr>
              <w:t>项目经用户验收合格后，</w:t>
            </w:r>
            <w:r>
              <w:rPr>
                <w:rFonts w:hint="eastAsia"/>
                <w:sz w:val="22"/>
                <w:szCs w:val="22"/>
                <w:lang w:eastAsia="zh-CN"/>
              </w:rPr>
              <w:t>采购方</w:t>
            </w:r>
            <w:r>
              <w:rPr>
                <w:rFonts w:hint="eastAsia" w:ascii="宋体" w:hAnsi="宋体" w:cs="宋体"/>
                <w:color w:val="000000"/>
                <w:sz w:val="22"/>
                <w:szCs w:val="22"/>
              </w:rPr>
              <w:t>在30个工作日</w:t>
            </w:r>
            <w:r>
              <w:rPr>
                <w:rFonts w:hint="eastAsia"/>
                <w:sz w:val="22"/>
                <w:szCs w:val="22"/>
              </w:rPr>
              <w:t>（正常财务工作日）</w:t>
            </w:r>
            <w:r>
              <w:rPr>
                <w:rFonts w:hint="eastAsia"/>
                <w:color w:val="FF0000"/>
                <w:sz w:val="22"/>
                <w:szCs w:val="22"/>
                <w:lang w:val="en-US" w:eastAsia="zh-CN"/>
              </w:rPr>
              <w:t>一次性</w:t>
            </w:r>
            <w:r>
              <w:rPr>
                <w:rFonts w:hint="eastAsia"/>
                <w:color w:val="FF0000"/>
                <w:sz w:val="22"/>
                <w:szCs w:val="22"/>
                <w:lang w:eastAsia="zh-CN"/>
              </w:rPr>
              <w:t>支付技术服务费</w:t>
            </w:r>
            <w:r>
              <w:rPr>
                <w:rFonts w:hint="eastAsia"/>
                <w:color w:val="FF0000"/>
                <w:sz w:val="22"/>
                <w:szCs w:val="22"/>
                <w:lang w:val="en-US" w:eastAsia="zh-CN"/>
              </w:rPr>
              <w:t>48万元；</w:t>
            </w:r>
            <w:r>
              <w:rPr>
                <w:rFonts w:hint="eastAsia"/>
                <w:color w:val="FF0000"/>
                <w:sz w:val="22"/>
                <w:szCs w:val="22"/>
              </w:rPr>
              <w:t>维保所需设备及配件按合同要求据实结算</w:t>
            </w:r>
            <w:r>
              <w:rPr>
                <w:rStyle w:val="17"/>
                <w:rFonts w:hint="eastAsia"/>
                <w:color w:val="FF0000"/>
                <w:sz w:val="22"/>
                <w:szCs w:val="22"/>
              </w:rPr>
              <w:footnoteReference w:id="1"/>
            </w:r>
            <w:r>
              <w:rPr>
                <w:rFonts w:hint="eastAsia"/>
                <w:color w:val="FF0000"/>
                <w:sz w:val="22"/>
                <w:szCs w:val="22"/>
                <w:lang w:eastAsia="zh-CN"/>
              </w:rPr>
              <w:t>。</w:t>
            </w:r>
            <w:r>
              <w:rPr>
                <w:rFonts w:hint="eastAsia"/>
                <w:sz w:val="22"/>
                <w:szCs w:val="22"/>
                <w:lang w:eastAsia="zh-CN"/>
              </w:rPr>
              <w:t>采购方</w:t>
            </w:r>
            <w:r>
              <w:rPr>
                <w:rFonts w:hint="eastAsia"/>
                <w:sz w:val="22"/>
                <w:szCs w:val="22"/>
              </w:rPr>
              <w:t>付款前，成交</w:t>
            </w:r>
            <w:r>
              <w:rPr>
                <w:rFonts w:hint="eastAsia"/>
                <w:sz w:val="22"/>
                <w:szCs w:val="22"/>
                <w:lang w:eastAsia="zh-CN"/>
              </w:rPr>
              <w:t>中标方</w:t>
            </w:r>
            <w:r>
              <w:rPr>
                <w:rFonts w:hint="eastAsia"/>
                <w:sz w:val="22"/>
                <w:szCs w:val="22"/>
              </w:rPr>
              <w:t>须开具合法、等额的增值税专用发票，否则</w:t>
            </w:r>
            <w:r>
              <w:rPr>
                <w:rFonts w:hint="eastAsia"/>
                <w:sz w:val="22"/>
                <w:szCs w:val="22"/>
                <w:lang w:eastAsia="zh-CN"/>
              </w:rPr>
              <w:t>采购方</w:t>
            </w:r>
            <w:r>
              <w:rPr>
                <w:rFonts w:hint="eastAsia"/>
                <w:sz w:val="22"/>
                <w:szCs w:val="22"/>
              </w:rPr>
              <w:t>有权拒绝付款并无需承担违约责任。</w:t>
            </w:r>
          </w:p>
        </w:tc>
        <w:tc>
          <w:tcPr>
            <w:tcW w:w="807" w:type="pct"/>
            <w:tcBorders>
              <w:top w:val="single" w:color="auto" w:sz="4" w:space="0"/>
              <w:left w:val="single" w:color="auto" w:sz="4" w:space="0"/>
              <w:right w:val="single" w:color="auto" w:sz="4" w:space="0"/>
            </w:tcBorders>
            <w:noWrap w:val="0"/>
            <w:vAlign w:val="center"/>
          </w:tcPr>
          <w:p w14:paraId="2390D563">
            <w:pPr>
              <w:spacing w:line="460" w:lineRule="exact"/>
              <w:jc w:val="center"/>
              <w:rPr>
                <w:rFonts w:ascii="宋体" w:hAnsi="宋体" w:cs="宋体"/>
                <w:b/>
                <w:bCs/>
                <w:color w:val="000000"/>
                <w:spacing w:val="-1"/>
                <w:sz w:val="22"/>
                <w:szCs w:val="22"/>
                <w:lang w:val="zh-CN"/>
              </w:rPr>
            </w:pPr>
            <w:r>
              <w:rPr>
                <w:rFonts w:hint="eastAsia" w:ascii="宋体" w:hAnsi="宋体" w:cs="宋体"/>
                <w:color w:val="000000"/>
                <w:sz w:val="22"/>
                <w:szCs w:val="22"/>
              </w:rPr>
              <w:t>商务要求响应/偏离表</w:t>
            </w:r>
          </w:p>
        </w:tc>
      </w:tr>
      <w:tr w14:paraId="6391E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292" w:type="pct"/>
            <w:tcBorders>
              <w:top w:val="single" w:color="auto" w:sz="4" w:space="0"/>
              <w:left w:val="single" w:color="auto" w:sz="4" w:space="0"/>
              <w:bottom w:val="single" w:color="auto" w:sz="4" w:space="0"/>
              <w:right w:val="single" w:color="auto" w:sz="4" w:space="0"/>
            </w:tcBorders>
            <w:noWrap w:val="0"/>
            <w:vAlign w:val="center"/>
          </w:tcPr>
          <w:p w14:paraId="7369CB9A">
            <w:pPr>
              <w:spacing w:line="460" w:lineRule="exact"/>
              <w:jc w:val="center"/>
              <w:rPr>
                <w:rFonts w:ascii="宋体" w:hAnsi="宋体" w:cs="宋体"/>
                <w:color w:val="000000"/>
                <w:spacing w:val="-1"/>
                <w:sz w:val="22"/>
                <w:szCs w:val="22"/>
                <w:lang w:val="zh-CN"/>
              </w:rPr>
            </w:pPr>
            <w:r>
              <w:rPr>
                <w:rFonts w:hint="eastAsia" w:ascii="宋体" w:hAnsi="宋体" w:cs="宋体"/>
                <w:color w:val="000000"/>
                <w:sz w:val="22"/>
                <w:szCs w:val="22"/>
              </w:rPr>
              <w:t>4</w:t>
            </w:r>
          </w:p>
        </w:tc>
        <w:tc>
          <w:tcPr>
            <w:tcW w:w="442" w:type="pct"/>
            <w:tcBorders>
              <w:top w:val="single" w:color="auto" w:sz="4" w:space="0"/>
              <w:left w:val="single" w:color="auto" w:sz="4" w:space="0"/>
              <w:bottom w:val="single" w:color="auto" w:sz="4" w:space="0"/>
              <w:right w:val="single" w:color="auto" w:sz="4" w:space="0"/>
            </w:tcBorders>
            <w:noWrap w:val="0"/>
            <w:vAlign w:val="center"/>
          </w:tcPr>
          <w:p w14:paraId="7B6C987E">
            <w:pPr>
              <w:spacing w:line="460" w:lineRule="exact"/>
              <w:jc w:val="center"/>
              <w:rPr>
                <w:rFonts w:ascii="宋体" w:hAnsi="宋体" w:cs="宋体"/>
                <w:color w:val="000000"/>
                <w:spacing w:val="-1"/>
                <w:sz w:val="22"/>
                <w:szCs w:val="22"/>
                <w:lang w:val="zh-CN"/>
              </w:rPr>
            </w:pPr>
            <w:r>
              <w:rPr>
                <w:rFonts w:hint="eastAsia" w:ascii="宋体" w:hAnsi="宋体" w:cs="宋体"/>
                <w:color w:val="000000"/>
                <w:sz w:val="22"/>
                <w:szCs w:val="22"/>
                <w:lang w:val="zh-CN"/>
              </w:rPr>
              <w:t>★</w:t>
            </w:r>
          </w:p>
        </w:tc>
        <w:tc>
          <w:tcPr>
            <w:tcW w:w="704" w:type="pct"/>
            <w:tcBorders>
              <w:top w:val="single" w:color="auto" w:sz="4" w:space="0"/>
              <w:left w:val="single" w:color="auto" w:sz="4" w:space="0"/>
              <w:bottom w:val="single" w:color="auto" w:sz="4" w:space="0"/>
              <w:right w:val="single" w:color="auto" w:sz="4" w:space="0"/>
            </w:tcBorders>
            <w:noWrap w:val="0"/>
            <w:vAlign w:val="center"/>
          </w:tcPr>
          <w:p w14:paraId="5E31291D">
            <w:pPr>
              <w:spacing w:line="460" w:lineRule="exact"/>
              <w:ind w:left="42" w:leftChars="20" w:right="42" w:rightChars="20"/>
              <w:jc w:val="center"/>
              <w:rPr>
                <w:rFonts w:ascii="宋体" w:hAnsi="宋体" w:cs="宋体"/>
                <w:color w:val="000000"/>
                <w:sz w:val="22"/>
                <w:szCs w:val="22"/>
              </w:rPr>
            </w:pPr>
            <w:r>
              <w:rPr>
                <w:rFonts w:hint="eastAsia" w:ascii="宋体" w:hAnsi="宋体" w:cs="宋体"/>
                <w:color w:val="000000"/>
                <w:sz w:val="22"/>
                <w:szCs w:val="22"/>
              </w:rPr>
              <w:t>验收标准</w:t>
            </w:r>
          </w:p>
        </w:tc>
        <w:tc>
          <w:tcPr>
            <w:tcW w:w="2755" w:type="pct"/>
            <w:tcBorders>
              <w:top w:val="single" w:color="auto" w:sz="4" w:space="0"/>
              <w:left w:val="single" w:color="auto" w:sz="4" w:space="0"/>
              <w:bottom w:val="single" w:color="auto" w:sz="4" w:space="0"/>
              <w:right w:val="single" w:color="auto" w:sz="4" w:space="0"/>
            </w:tcBorders>
            <w:noWrap w:val="0"/>
            <w:vAlign w:val="top"/>
          </w:tcPr>
          <w:p w14:paraId="4490AE8F">
            <w:pPr>
              <w:pStyle w:val="26"/>
              <w:widowControl/>
              <w:spacing w:before="0" w:after="0" w:line="460" w:lineRule="exact"/>
              <w:ind w:firstLine="0"/>
              <w:rPr>
                <w:rFonts w:ascii="宋体" w:hAnsi="宋体" w:cs="宋体"/>
                <w:color w:val="000000"/>
                <w:sz w:val="22"/>
                <w:szCs w:val="22"/>
              </w:rPr>
            </w:pPr>
            <w:r>
              <w:rPr>
                <w:rFonts w:hint="eastAsia" w:ascii="宋体" w:hAnsi="宋体" w:cs="宋体"/>
                <w:bCs/>
                <w:color w:val="000000"/>
                <w:kern w:val="2"/>
                <w:sz w:val="22"/>
                <w:szCs w:val="22"/>
                <w:lang w:val="zh-CN"/>
              </w:rPr>
              <w:t>按照学校验收的权限，相关部门及人员形成验收小组，验收小组根据采购文件、响应文件、合同等项目文件约定内容和国家或行业相关标准对项目进行综合运行验收。成交中标方应负责在项目验收时将全部有关技术文件、资料、验收报告等文档汇集成册交付采购方或用户。如验收达不到规定要求，采购方有权要求更换货物或拒绝付款，成交中标方若违约，采购方将依法追究相应法律责任。</w:t>
            </w:r>
          </w:p>
        </w:tc>
        <w:tc>
          <w:tcPr>
            <w:tcW w:w="807" w:type="pct"/>
            <w:tcBorders>
              <w:top w:val="single" w:color="auto" w:sz="4" w:space="0"/>
              <w:left w:val="single" w:color="auto" w:sz="4" w:space="0"/>
              <w:bottom w:val="single" w:color="auto" w:sz="4" w:space="0"/>
              <w:right w:val="single" w:color="auto" w:sz="4" w:space="0"/>
            </w:tcBorders>
            <w:noWrap w:val="0"/>
            <w:vAlign w:val="center"/>
          </w:tcPr>
          <w:p w14:paraId="57ACE71A">
            <w:pPr>
              <w:spacing w:line="460" w:lineRule="exact"/>
              <w:jc w:val="center"/>
              <w:rPr>
                <w:rFonts w:ascii="宋体" w:hAnsi="宋体" w:cs="宋体"/>
                <w:color w:val="000000"/>
                <w:spacing w:val="-1"/>
                <w:sz w:val="22"/>
                <w:szCs w:val="22"/>
                <w:lang w:val="zh-CN"/>
              </w:rPr>
            </w:pPr>
            <w:r>
              <w:rPr>
                <w:rFonts w:hint="eastAsia" w:ascii="宋体" w:hAnsi="宋体" w:cs="宋体"/>
                <w:color w:val="000000"/>
                <w:sz w:val="22"/>
                <w:szCs w:val="22"/>
              </w:rPr>
              <w:t>商务要求响应/偏离表</w:t>
            </w:r>
          </w:p>
        </w:tc>
      </w:tr>
      <w:tr w14:paraId="30C47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 w:hRule="atLeast"/>
          <w:jc w:val="center"/>
        </w:trPr>
        <w:tc>
          <w:tcPr>
            <w:tcW w:w="292" w:type="pct"/>
            <w:tcBorders>
              <w:top w:val="single" w:color="auto" w:sz="4" w:space="0"/>
              <w:left w:val="single" w:color="auto" w:sz="4" w:space="0"/>
              <w:bottom w:val="single" w:color="auto" w:sz="4" w:space="0"/>
              <w:right w:val="single" w:color="auto" w:sz="4" w:space="0"/>
            </w:tcBorders>
            <w:noWrap w:val="0"/>
            <w:vAlign w:val="center"/>
          </w:tcPr>
          <w:p w14:paraId="77BA6B69">
            <w:pPr>
              <w:spacing w:line="460" w:lineRule="exact"/>
              <w:jc w:val="center"/>
              <w:rPr>
                <w:rFonts w:ascii="宋体" w:hAnsi="宋体" w:cs="宋体"/>
                <w:color w:val="000000"/>
                <w:sz w:val="22"/>
                <w:szCs w:val="22"/>
              </w:rPr>
            </w:pPr>
            <w:r>
              <w:rPr>
                <w:rFonts w:hint="eastAsia" w:ascii="宋体" w:hAnsi="宋体" w:cs="宋体"/>
                <w:color w:val="000000"/>
                <w:sz w:val="22"/>
                <w:szCs w:val="22"/>
              </w:rPr>
              <w:t>5</w:t>
            </w:r>
          </w:p>
        </w:tc>
        <w:tc>
          <w:tcPr>
            <w:tcW w:w="442" w:type="pct"/>
            <w:tcBorders>
              <w:top w:val="single" w:color="auto" w:sz="4" w:space="0"/>
              <w:left w:val="single" w:color="auto" w:sz="4" w:space="0"/>
              <w:bottom w:val="single" w:color="auto" w:sz="4" w:space="0"/>
              <w:right w:val="single" w:color="auto" w:sz="4" w:space="0"/>
            </w:tcBorders>
            <w:noWrap w:val="0"/>
            <w:vAlign w:val="center"/>
          </w:tcPr>
          <w:p w14:paraId="2796FEBF">
            <w:pPr>
              <w:spacing w:line="460" w:lineRule="exact"/>
              <w:jc w:val="center"/>
              <w:rPr>
                <w:rFonts w:ascii="宋体" w:hAnsi="宋体" w:cs="宋体"/>
                <w:color w:val="000000"/>
                <w:sz w:val="22"/>
                <w:szCs w:val="22"/>
                <w:lang w:val="zh-CN"/>
              </w:rPr>
            </w:pPr>
            <w:r>
              <w:rPr>
                <w:rFonts w:hint="eastAsia" w:ascii="宋体" w:hAnsi="宋体" w:cs="宋体"/>
                <w:color w:val="000000"/>
                <w:sz w:val="22"/>
                <w:szCs w:val="22"/>
                <w:lang w:val="zh-CN"/>
              </w:rPr>
              <w:t>★</w:t>
            </w:r>
          </w:p>
        </w:tc>
        <w:tc>
          <w:tcPr>
            <w:tcW w:w="704" w:type="pct"/>
            <w:tcBorders>
              <w:top w:val="single" w:color="auto" w:sz="4" w:space="0"/>
              <w:left w:val="single" w:color="auto" w:sz="4" w:space="0"/>
              <w:bottom w:val="single" w:color="auto" w:sz="4" w:space="0"/>
              <w:right w:val="single" w:color="auto" w:sz="4" w:space="0"/>
            </w:tcBorders>
            <w:noWrap w:val="0"/>
            <w:vAlign w:val="center"/>
          </w:tcPr>
          <w:p w14:paraId="24814C1A">
            <w:pPr>
              <w:spacing w:line="460" w:lineRule="exact"/>
              <w:jc w:val="center"/>
              <w:rPr>
                <w:rFonts w:ascii="宋体" w:hAnsi="宋体" w:cs="宋体"/>
                <w:color w:val="000000"/>
                <w:sz w:val="22"/>
                <w:szCs w:val="22"/>
                <w:lang w:val="zh-CN"/>
              </w:rPr>
            </w:pPr>
            <w:r>
              <w:rPr>
                <w:rFonts w:hint="eastAsia" w:ascii="宋体" w:hAnsi="宋体" w:cs="宋体"/>
                <w:color w:val="000000"/>
                <w:sz w:val="22"/>
                <w:szCs w:val="22"/>
                <w:lang w:val="zh-CN"/>
              </w:rPr>
              <w:t>其他</w:t>
            </w:r>
          </w:p>
        </w:tc>
        <w:tc>
          <w:tcPr>
            <w:tcW w:w="2755" w:type="pct"/>
            <w:tcBorders>
              <w:top w:val="single" w:color="auto" w:sz="4" w:space="0"/>
              <w:left w:val="single" w:color="auto" w:sz="4" w:space="0"/>
              <w:bottom w:val="single" w:color="auto" w:sz="4" w:space="0"/>
              <w:right w:val="single" w:color="auto" w:sz="4" w:space="0"/>
            </w:tcBorders>
            <w:noWrap w:val="0"/>
            <w:vAlign w:val="center"/>
          </w:tcPr>
          <w:p w14:paraId="4B5BC627">
            <w:pPr>
              <w:spacing w:line="460" w:lineRule="exact"/>
              <w:ind w:left="42" w:leftChars="20"/>
              <w:rPr>
                <w:rFonts w:ascii="宋体" w:hAnsi="宋体" w:cs="宋体"/>
                <w:color w:val="000000"/>
                <w:sz w:val="22"/>
                <w:szCs w:val="22"/>
              </w:rPr>
            </w:pPr>
            <w:r>
              <w:rPr>
                <w:rFonts w:hint="eastAsia" w:ascii="宋体" w:hAnsi="宋体" w:cs="宋体"/>
                <w:sz w:val="22"/>
                <w:szCs w:val="22"/>
                <w:lang w:val="zh-CN"/>
              </w:rPr>
              <w:t>本项目为交钥匙工程，所有费用均包含在磋商总价中，请在报价时予以考虑。</w:t>
            </w:r>
          </w:p>
        </w:tc>
        <w:tc>
          <w:tcPr>
            <w:tcW w:w="807" w:type="pct"/>
            <w:tcBorders>
              <w:top w:val="single" w:color="auto" w:sz="4" w:space="0"/>
              <w:left w:val="single" w:color="auto" w:sz="4" w:space="0"/>
              <w:bottom w:val="single" w:color="auto" w:sz="4" w:space="0"/>
              <w:right w:val="single" w:color="auto" w:sz="4" w:space="0"/>
            </w:tcBorders>
            <w:noWrap w:val="0"/>
            <w:vAlign w:val="center"/>
          </w:tcPr>
          <w:p w14:paraId="223CEB69">
            <w:pPr>
              <w:spacing w:line="460" w:lineRule="exact"/>
              <w:jc w:val="center"/>
              <w:rPr>
                <w:rFonts w:ascii="宋体" w:hAnsi="宋体" w:cs="宋体"/>
                <w:color w:val="000000"/>
                <w:sz w:val="22"/>
                <w:szCs w:val="22"/>
              </w:rPr>
            </w:pPr>
            <w:r>
              <w:rPr>
                <w:rFonts w:hint="eastAsia" w:ascii="宋体" w:hAnsi="宋体" w:cs="宋体"/>
                <w:color w:val="000000"/>
                <w:sz w:val="22"/>
                <w:szCs w:val="22"/>
              </w:rPr>
              <w:t>商务要求响应/偏离表</w:t>
            </w:r>
          </w:p>
        </w:tc>
      </w:tr>
    </w:tbl>
    <w:p w14:paraId="1EF7BD94">
      <w:pPr>
        <w:spacing w:line="450" w:lineRule="exact"/>
        <w:rPr>
          <w:rFonts w:ascii="宋体" w:hAnsi="宋体" w:cs="宋体"/>
          <w:b/>
          <w:bCs/>
          <w:spacing w:val="2"/>
          <w:sz w:val="24"/>
          <w:szCs w:val="24"/>
          <w:lang w:val="zh-CN"/>
        </w:rPr>
      </w:pPr>
      <w:r>
        <w:rPr>
          <w:rFonts w:hint="eastAsia" w:ascii="宋体" w:hAnsi="宋体" w:cs="宋体"/>
          <w:b/>
          <w:bCs/>
          <w:spacing w:val="2"/>
          <w:sz w:val="24"/>
          <w:szCs w:val="24"/>
        </w:rPr>
        <w:t>注：1.</w:t>
      </w:r>
      <w:r>
        <w:rPr>
          <w:rFonts w:hint="eastAsia" w:ascii="宋体" w:hAnsi="宋体" w:cs="宋体"/>
          <w:b/>
          <w:bCs/>
          <w:spacing w:val="2"/>
          <w:sz w:val="24"/>
          <w:szCs w:val="24"/>
          <w:lang w:val="zh-CN"/>
        </w:rPr>
        <w:t>“★”代表实质性指标，</w:t>
      </w:r>
      <w:r>
        <w:rPr>
          <w:rFonts w:hint="eastAsia" w:ascii="宋体" w:hAnsi="宋体" w:cs="宋体"/>
          <w:b/>
          <w:bCs/>
          <w:spacing w:val="2"/>
          <w:sz w:val="24"/>
          <w:szCs w:val="24"/>
        </w:rPr>
        <w:t>不允许负偏离，任何一项负偏离作无效响应处理</w:t>
      </w:r>
      <w:r>
        <w:rPr>
          <w:rFonts w:hint="eastAsia" w:ascii="宋体" w:hAnsi="宋体" w:cs="宋体"/>
          <w:b/>
          <w:bCs/>
          <w:spacing w:val="2"/>
          <w:sz w:val="24"/>
          <w:szCs w:val="24"/>
          <w:lang w:val="zh-CN"/>
        </w:rPr>
        <w:t>；</w:t>
      </w:r>
    </w:p>
    <w:p w14:paraId="3F9106C1">
      <w:pPr>
        <w:pageBreakBefore w:val="0"/>
        <w:widowControl w:val="0"/>
        <w:numPr>
          <w:ilvl w:val="0"/>
          <w:numId w:val="2"/>
        </w:numPr>
        <w:kinsoku/>
        <w:wordWrap/>
        <w:overflowPunct/>
        <w:topLinePunct w:val="0"/>
        <w:autoSpaceDE/>
        <w:autoSpaceDN/>
        <w:bidi w:val="0"/>
        <w:adjustRightInd/>
        <w:snapToGrid/>
        <w:spacing w:line="360" w:lineRule="auto"/>
        <w:textAlignment w:val="auto"/>
        <w:rPr>
          <w:rFonts w:hint="eastAsia" w:ascii="宋体" w:hAnsi="宋体" w:cs="宋体"/>
          <w:b/>
          <w:bCs/>
          <w:spacing w:val="2"/>
          <w:sz w:val="24"/>
          <w:szCs w:val="24"/>
        </w:rPr>
      </w:pPr>
      <w:r>
        <w:rPr>
          <w:rFonts w:hint="eastAsia" w:ascii="宋体" w:hAnsi="宋体" w:cs="宋体"/>
          <w:b/>
          <w:bCs/>
          <w:spacing w:val="2"/>
          <w:sz w:val="24"/>
          <w:szCs w:val="24"/>
        </w:rPr>
        <w:t>“▲”代表重要指标，</w:t>
      </w:r>
      <w:r>
        <w:rPr>
          <w:rFonts w:hint="eastAsia" w:ascii="宋体" w:hAnsi="宋体" w:cs="宋体"/>
          <w:b/>
          <w:bCs/>
          <w:spacing w:val="2"/>
          <w:sz w:val="24"/>
          <w:szCs w:val="24"/>
          <w:lang w:val="zh-CN"/>
        </w:rPr>
        <w:t>“#”</w:t>
      </w:r>
      <w:r>
        <w:rPr>
          <w:rFonts w:hint="eastAsia" w:ascii="宋体" w:hAnsi="宋体" w:cs="宋体"/>
          <w:b/>
          <w:bCs/>
          <w:spacing w:val="2"/>
          <w:sz w:val="24"/>
          <w:szCs w:val="24"/>
        </w:rPr>
        <w:t>代表一般指标，“▲”和</w:t>
      </w:r>
      <w:r>
        <w:rPr>
          <w:rFonts w:hint="eastAsia" w:ascii="宋体" w:hAnsi="宋体" w:cs="宋体"/>
          <w:b/>
          <w:bCs/>
          <w:spacing w:val="2"/>
          <w:sz w:val="24"/>
          <w:szCs w:val="24"/>
          <w:lang w:val="zh-CN"/>
        </w:rPr>
        <w:t>“#”指标均</w:t>
      </w:r>
      <w:r>
        <w:rPr>
          <w:rFonts w:hint="eastAsia" w:ascii="宋体" w:hAnsi="宋体" w:cs="宋体"/>
          <w:b/>
          <w:bCs/>
          <w:spacing w:val="2"/>
          <w:sz w:val="24"/>
          <w:szCs w:val="24"/>
        </w:rPr>
        <w:t>允许负偏离，负偏离将影响其评审得分，但不作无效响应处理。</w:t>
      </w:r>
    </w:p>
    <w:p w14:paraId="507349C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bCs/>
          <w:spacing w:val="2"/>
          <w:sz w:val="24"/>
          <w:szCs w:val="24"/>
          <w:lang w:val="zh-CN"/>
        </w:rPr>
      </w:pPr>
    </w:p>
    <w:p w14:paraId="1DD9E6A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b/>
          <w:sz w:val="24"/>
          <w:szCs w:val="24"/>
        </w:rPr>
      </w:pPr>
      <w:r>
        <w:rPr>
          <w:rFonts w:hint="eastAsia" w:ascii="宋体" w:hAnsi="宋体" w:cs="宋体"/>
          <w:b/>
          <w:bCs/>
          <w:spacing w:val="2"/>
          <w:sz w:val="24"/>
          <w:szCs w:val="24"/>
          <w:lang w:val="zh-CN"/>
        </w:rPr>
        <w:t>★</w:t>
      </w:r>
      <w:r>
        <w:rPr>
          <w:rFonts w:hint="eastAsia" w:ascii="宋体" w:hAnsi="宋体" w:cs="宋体"/>
          <w:b/>
          <w:bCs/>
          <w:spacing w:val="2"/>
          <w:sz w:val="24"/>
          <w:szCs w:val="24"/>
          <w:lang w:val="en-US" w:eastAsia="zh-CN"/>
        </w:rPr>
        <w:t xml:space="preserve"> 表1：</w:t>
      </w:r>
      <w:r>
        <w:rPr>
          <w:rFonts w:hint="eastAsia" w:ascii="宋体" w:hAnsi="宋体"/>
          <w:b/>
          <w:sz w:val="24"/>
          <w:szCs w:val="24"/>
        </w:rPr>
        <w:t>维保所需设备及配件</w:t>
      </w: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2"/>
        <w:gridCol w:w="2475"/>
        <w:gridCol w:w="1260"/>
        <w:gridCol w:w="3720"/>
        <w:gridCol w:w="705"/>
        <w:gridCol w:w="727"/>
      </w:tblGrid>
      <w:tr w14:paraId="2FE46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9569" w:type="dxa"/>
            <w:gridSpan w:val="6"/>
            <w:tcBorders>
              <w:top w:val="single" w:color="000000" w:sz="4" w:space="0"/>
              <w:left w:val="single" w:color="000000" w:sz="4" w:space="0"/>
              <w:bottom w:val="single" w:color="000000" w:sz="4" w:space="0"/>
              <w:right w:val="single" w:color="000000" w:sz="4" w:space="0"/>
            </w:tcBorders>
            <w:shd w:val="clear" w:color="auto" w:fill="auto"/>
            <w:vAlign w:val="top"/>
          </w:tcPr>
          <w:p w14:paraId="239CBA6C">
            <w:pPr>
              <w:keepNext w:val="0"/>
              <w:keepLines w:val="0"/>
              <w:widowControl/>
              <w:suppressLineNumbers w:val="0"/>
              <w:jc w:val="left"/>
              <w:textAlignment w:val="top"/>
              <w:rPr>
                <w:rFonts w:hint="eastAsia" w:ascii="宋体" w:hAnsi="宋体" w:eastAsia="宋体" w:cs="宋体"/>
                <w:b/>
                <w:bCs/>
                <w:i w:val="0"/>
                <w:iCs w:val="0"/>
                <w:color w:val="FF0000"/>
                <w:sz w:val="21"/>
                <w:szCs w:val="21"/>
                <w:u w:val="none"/>
              </w:rPr>
            </w:pPr>
            <w:r>
              <w:rPr>
                <w:rFonts w:hint="eastAsia" w:ascii="宋体" w:hAnsi="宋体" w:eastAsia="宋体" w:cs="宋体"/>
                <w:b/>
                <w:bCs/>
                <w:i w:val="0"/>
                <w:iCs w:val="0"/>
                <w:color w:val="FF0000"/>
                <w:kern w:val="0"/>
                <w:sz w:val="21"/>
                <w:szCs w:val="21"/>
                <w:u w:val="none"/>
                <w:lang w:val="en-US" w:eastAsia="zh-CN" w:bidi="ar"/>
              </w:rPr>
              <w:t>注:</w:t>
            </w:r>
            <w:r>
              <w:rPr>
                <w:rFonts w:hint="eastAsia" w:ascii="宋体" w:hAnsi="宋体" w:eastAsia="宋体" w:cs="宋体"/>
                <w:b/>
                <w:bCs/>
                <w:i w:val="0"/>
                <w:iCs w:val="0"/>
                <w:color w:val="FF0000"/>
                <w:kern w:val="0"/>
                <w:sz w:val="21"/>
                <w:szCs w:val="21"/>
                <w:u w:val="none"/>
                <w:lang w:val="en-US" w:eastAsia="zh-CN" w:bidi="ar"/>
              </w:rPr>
              <w:br w:type="textWrapping"/>
            </w:r>
            <w:r>
              <w:rPr>
                <w:rFonts w:hint="eastAsia" w:ascii="宋体" w:hAnsi="宋体" w:eastAsia="宋体" w:cs="宋体"/>
                <w:b/>
                <w:bCs/>
                <w:i w:val="0"/>
                <w:iCs w:val="0"/>
                <w:color w:val="FF0000"/>
                <w:kern w:val="0"/>
                <w:sz w:val="21"/>
                <w:szCs w:val="21"/>
                <w:u w:val="none"/>
                <w:lang w:val="en-US" w:eastAsia="zh-CN" w:bidi="ar"/>
              </w:rPr>
              <w:t>1、本附件所列举设备及备件仅作为维保过程中所需替换设备及配件的参考，不作为设备替换的唯一标准。</w:t>
            </w:r>
            <w:r>
              <w:rPr>
                <w:rFonts w:hint="eastAsia" w:ascii="宋体" w:hAnsi="宋体" w:eastAsia="宋体" w:cs="宋体"/>
                <w:b/>
                <w:bCs/>
                <w:i w:val="0"/>
                <w:iCs w:val="0"/>
                <w:color w:val="FF0000"/>
                <w:kern w:val="0"/>
                <w:sz w:val="21"/>
                <w:szCs w:val="21"/>
                <w:u w:val="none"/>
                <w:lang w:val="en-US" w:eastAsia="zh-CN" w:bidi="ar"/>
              </w:rPr>
              <w:br w:type="textWrapping"/>
            </w:r>
            <w:r>
              <w:rPr>
                <w:rFonts w:hint="eastAsia" w:ascii="宋体" w:hAnsi="宋体" w:eastAsia="宋体" w:cs="宋体"/>
                <w:b/>
                <w:bCs/>
                <w:i w:val="0"/>
                <w:iCs w:val="0"/>
                <w:color w:val="FF0000"/>
                <w:kern w:val="0"/>
                <w:sz w:val="21"/>
                <w:szCs w:val="21"/>
                <w:u w:val="none"/>
                <w:lang w:val="en-US" w:eastAsia="zh-CN" w:bidi="ar"/>
              </w:rPr>
              <w:t>2、维保所需设备及配件（22万元/年），按合同要求据实支付维保替换的设备及配件，超过22万元/年的设备，由中标方免费提供。</w:t>
            </w:r>
          </w:p>
        </w:tc>
      </w:tr>
      <w:tr w14:paraId="776FD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85933">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F9A39">
            <w:pPr>
              <w:keepNext w:val="0"/>
              <w:keepLines w:val="0"/>
              <w:widowControl/>
              <w:suppressLineNumbers w:val="0"/>
              <w:jc w:val="left"/>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名称</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A8DCB">
            <w:pPr>
              <w:keepNext w:val="0"/>
              <w:keepLines w:val="0"/>
              <w:widowControl/>
              <w:suppressLineNumbers w:val="0"/>
              <w:jc w:val="center"/>
              <w:textAlignment w:val="center"/>
              <w:rPr>
                <w:rFonts w:hint="default" w:ascii="宋体" w:hAnsi="宋体" w:eastAsia="宋体" w:cs="宋体"/>
                <w:b/>
                <w:bCs/>
                <w:i w:val="0"/>
                <w:iCs w:val="0"/>
                <w:color w:val="000000"/>
                <w:sz w:val="21"/>
                <w:szCs w:val="21"/>
                <w:u w:val="none"/>
                <w:lang w:val="en-US"/>
              </w:rPr>
            </w:pPr>
            <w:r>
              <w:rPr>
                <w:rFonts w:hint="eastAsia" w:ascii="宋体" w:hAnsi="宋体" w:eastAsia="宋体" w:cs="宋体"/>
                <w:b/>
                <w:bCs/>
                <w:i w:val="0"/>
                <w:iCs w:val="0"/>
                <w:color w:val="000000"/>
                <w:kern w:val="0"/>
                <w:sz w:val="21"/>
                <w:szCs w:val="21"/>
                <w:u w:val="none"/>
                <w:lang w:val="en-US" w:eastAsia="zh-CN" w:bidi="ar"/>
              </w:rPr>
              <w:t>进口/国产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C1BC0">
            <w:pPr>
              <w:keepNext w:val="0"/>
              <w:keepLines w:val="0"/>
              <w:widowControl/>
              <w:suppressLineNumbers w:val="0"/>
              <w:jc w:val="left"/>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技术规格</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6CF12">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0649B">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单价</w:t>
            </w:r>
          </w:p>
        </w:tc>
      </w:tr>
      <w:tr w14:paraId="376B61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BB0F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AD14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1.0电源线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6758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2BAF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RVV2*1.0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B891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37D0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r>
      <w:tr w14:paraId="102BD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04B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B752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1.5电源线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0CC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FF21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RVV2*1.5</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C97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C01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r>
      <w:tr w14:paraId="4A578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D40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211A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32C空气开关</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F5FC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8A2CB">
            <w:pPr>
              <w:keepNext w:val="0"/>
              <w:keepLines w:val="0"/>
              <w:widowControl/>
              <w:suppressLineNumbers w:val="0"/>
              <w:jc w:val="left"/>
              <w:textAlignment w:val="center"/>
              <w:rPr>
                <w:rFonts w:hint="eastAsia" w:ascii="宋体" w:hAnsi="宋体" w:eastAsia="宋体" w:cs="宋体"/>
                <w:i w:val="0"/>
                <w:iCs w:val="0"/>
                <w:color w:val="FF0000"/>
                <w:sz w:val="21"/>
                <w:szCs w:val="21"/>
                <w:u w:val="none"/>
              </w:rPr>
            </w:pPr>
            <w:r>
              <w:rPr>
                <w:rFonts w:hint="eastAsia" w:ascii="宋体" w:hAnsi="宋体" w:eastAsia="宋体" w:cs="宋体"/>
                <w:i w:val="0"/>
                <w:iCs w:val="0"/>
                <w:color w:val="FF0000"/>
                <w:kern w:val="0"/>
                <w:sz w:val="21"/>
                <w:szCs w:val="21"/>
                <w:u w:val="none"/>
                <w:lang w:val="en-US" w:eastAsia="zh-CN" w:bidi="ar"/>
              </w:rPr>
              <w:t>1、动作类型：A/C安装方式：</w:t>
            </w:r>
            <w:r>
              <w:rPr>
                <w:rFonts w:hint="eastAsia" w:ascii="宋体" w:hAnsi="宋体" w:eastAsia="宋体" w:cs="宋体"/>
                <w:i w:val="0"/>
                <w:iCs w:val="0"/>
                <w:color w:val="FF0000"/>
                <w:kern w:val="0"/>
                <w:sz w:val="21"/>
                <w:szCs w:val="21"/>
                <w:u w:val="none"/>
                <w:lang w:val="en-US" w:eastAsia="zh-CN" w:bidi="ar"/>
              </w:rPr>
              <w:br w:type="textWrapping"/>
            </w:r>
            <w:r>
              <w:rPr>
                <w:rFonts w:hint="eastAsia" w:ascii="宋体" w:hAnsi="宋体" w:eastAsia="宋体" w:cs="宋体"/>
                <w:i w:val="0"/>
                <w:iCs w:val="0"/>
                <w:color w:val="FF0000"/>
                <w:kern w:val="0"/>
                <w:sz w:val="21"/>
                <w:szCs w:val="21"/>
                <w:u w:val="none"/>
                <w:lang w:val="en-US" w:eastAsia="zh-CN" w:bidi="ar"/>
              </w:rPr>
              <w:t>2、导轨式接线方式：上进下出壳架额定电流：32A</w:t>
            </w:r>
            <w:r>
              <w:rPr>
                <w:rFonts w:hint="eastAsia" w:ascii="宋体" w:hAnsi="宋体" w:eastAsia="宋体" w:cs="宋体"/>
                <w:i w:val="0"/>
                <w:iCs w:val="0"/>
                <w:color w:val="FF0000"/>
                <w:kern w:val="0"/>
                <w:sz w:val="21"/>
                <w:szCs w:val="21"/>
                <w:u w:val="none"/>
                <w:lang w:val="en-US" w:eastAsia="zh-CN" w:bidi="ar"/>
              </w:rPr>
              <w:br w:type="textWrapping"/>
            </w:r>
            <w:r>
              <w:rPr>
                <w:rFonts w:hint="eastAsia" w:ascii="宋体" w:hAnsi="宋体" w:eastAsia="宋体" w:cs="宋体"/>
                <w:i w:val="0"/>
                <w:iCs w:val="0"/>
                <w:color w:val="FF0000"/>
                <w:kern w:val="0"/>
                <w:sz w:val="21"/>
                <w:szCs w:val="21"/>
                <w:u w:val="none"/>
                <w:lang w:val="en-US" w:eastAsia="zh-CN" w:bidi="ar"/>
              </w:rPr>
              <w:t>3、类别：微型断路器</w:t>
            </w:r>
            <w:r>
              <w:rPr>
                <w:rFonts w:hint="eastAsia" w:ascii="宋体" w:hAnsi="宋体" w:eastAsia="宋体" w:cs="宋体"/>
                <w:i w:val="0"/>
                <w:iCs w:val="0"/>
                <w:color w:val="FF0000"/>
                <w:kern w:val="0"/>
                <w:sz w:val="21"/>
                <w:szCs w:val="21"/>
                <w:u w:val="none"/>
                <w:lang w:val="en-US" w:eastAsia="zh-CN" w:bidi="ar"/>
              </w:rPr>
              <w:br w:type="textWrapping"/>
            </w:r>
            <w:r>
              <w:rPr>
                <w:rFonts w:hint="eastAsia" w:ascii="宋体" w:hAnsi="宋体" w:eastAsia="宋体" w:cs="宋体"/>
                <w:i w:val="0"/>
                <w:iCs w:val="0"/>
                <w:color w:val="FF0000"/>
                <w:kern w:val="0"/>
                <w:sz w:val="21"/>
                <w:szCs w:val="21"/>
                <w:u w:val="none"/>
                <w:lang w:val="en-US" w:eastAsia="zh-CN" w:bidi="ar"/>
              </w:rPr>
              <w:t>4、分断能力：6kA</w:t>
            </w:r>
            <w:r>
              <w:rPr>
                <w:rFonts w:hint="eastAsia" w:ascii="宋体" w:hAnsi="宋体" w:eastAsia="宋体" w:cs="宋体"/>
                <w:i w:val="0"/>
                <w:iCs w:val="0"/>
                <w:color w:val="FF0000"/>
                <w:kern w:val="0"/>
                <w:sz w:val="21"/>
                <w:szCs w:val="21"/>
                <w:u w:val="none"/>
                <w:lang w:val="en-US" w:eastAsia="zh-CN" w:bidi="ar"/>
              </w:rPr>
              <w:br w:type="textWrapping"/>
            </w:r>
            <w:r>
              <w:rPr>
                <w:rFonts w:hint="eastAsia" w:ascii="宋体" w:hAnsi="宋体" w:eastAsia="宋体" w:cs="宋体"/>
                <w:i w:val="0"/>
                <w:iCs w:val="0"/>
                <w:color w:val="FF0000"/>
                <w:kern w:val="0"/>
                <w:sz w:val="21"/>
                <w:szCs w:val="21"/>
                <w:u w:val="none"/>
                <w:lang w:val="en-US" w:eastAsia="zh-CN" w:bidi="ar"/>
              </w:rPr>
              <w:t>5、脱扣器类型：C</w:t>
            </w:r>
            <w:r>
              <w:rPr>
                <w:rFonts w:hint="eastAsia" w:ascii="宋体" w:hAnsi="宋体" w:eastAsia="宋体" w:cs="宋体"/>
                <w:i w:val="0"/>
                <w:iCs w:val="0"/>
                <w:color w:val="FF0000"/>
                <w:kern w:val="0"/>
                <w:sz w:val="21"/>
                <w:szCs w:val="21"/>
                <w:u w:val="none"/>
                <w:lang w:val="en-US" w:eastAsia="zh-CN" w:bidi="ar"/>
              </w:rPr>
              <w:br w:type="textWrapping"/>
            </w:r>
            <w:r>
              <w:rPr>
                <w:rFonts w:hint="eastAsia" w:ascii="宋体" w:hAnsi="宋体" w:eastAsia="宋体" w:cs="宋体"/>
                <w:i w:val="0"/>
                <w:iCs w:val="0"/>
                <w:color w:val="FF0000"/>
                <w:kern w:val="0"/>
                <w:sz w:val="21"/>
                <w:szCs w:val="21"/>
                <w:u w:val="none"/>
                <w:lang w:val="en-US" w:eastAsia="zh-CN" w:bidi="ar"/>
              </w:rPr>
              <w:t>6、操控方式：手动</w:t>
            </w:r>
            <w:r>
              <w:rPr>
                <w:rFonts w:hint="eastAsia" w:ascii="宋体" w:hAnsi="宋体" w:eastAsia="宋体" w:cs="宋体"/>
                <w:i w:val="0"/>
                <w:iCs w:val="0"/>
                <w:color w:val="FF0000"/>
                <w:kern w:val="0"/>
                <w:sz w:val="21"/>
                <w:szCs w:val="21"/>
                <w:u w:val="none"/>
                <w:lang w:val="en-US" w:eastAsia="zh-CN" w:bidi="ar"/>
              </w:rPr>
              <w:br w:type="textWrapping"/>
            </w:r>
            <w:r>
              <w:rPr>
                <w:rFonts w:hint="eastAsia" w:ascii="宋体" w:hAnsi="宋体" w:eastAsia="宋体" w:cs="宋体"/>
                <w:i w:val="0"/>
                <w:iCs w:val="0"/>
                <w:color w:val="FF0000"/>
                <w:kern w:val="0"/>
                <w:sz w:val="21"/>
                <w:szCs w:val="21"/>
                <w:u w:val="none"/>
                <w:lang w:val="en-US" w:eastAsia="zh-CN" w:bidi="ar"/>
              </w:rPr>
              <w:t>7、脱扣器形式：热磁式</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6EAE6">
            <w:pPr>
              <w:keepNext w:val="0"/>
              <w:keepLines w:val="0"/>
              <w:widowControl/>
              <w:suppressLineNumbers w:val="0"/>
              <w:jc w:val="center"/>
              <w:textAlignment w:val="center"/>
              <w:rPr>
                <w:rFonts w:hint="eastAsia" w:ascii="宋体" w:hAnsi="宋体" w:eastAsia="宋体" w:cs="宋体"/>
                <w:i w:val="0"/>
                <w:iCs w:val="0"/>
                <w:color w:val="FF0000"/>
                <w:sz w:val="21"/>
                <w:szCs w:val="21"/>
                <w:u w:val="none"/>
              </w:rPr>
            </w:pPr>
            <w:r>
              <w:rPr>
                <w:rFonts w:hint="eastAsia" w:ascii="宋体" w:hAnsi="宋体" w:eastAsia="宋体" w:cs="宋体"/>
                <w:i w:val="0"/>
                <w:iCs w:val="0"/>
                <w:color w:val="FF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41834">
            <w:pPr>
              <w:keepNext w:val="0"/>
              <w:keepLines w:val="0"/>
              <w:widowControl/>
              <w:suppressLineNumbers w:val="0"/>
              <w:jc w:val="center"/>
              <w:textAlignment w:val="center"/>
              <w:rPr>
                <w:rFonts w:hint="eastAsia" w:ascii="宋体" w:hAnsi="宋体" w:eastAsia="宋体" w:cs="宋体"/>
                <w:i w:val="0"/>
                <w:iCs w:val="0"/>
                <w:color w:val="FF0000"/>
                <w:sz w:val="21"/>
                <w:szCs w:val="21"/>
                <w:u w:val="none"/>
              </w:rPr>
            </w:pPr>
            <w:r>
              <w:rPr>
                <w:rFonts w:hint="eastAsia" w:ascii="宋体" w:hAnsi="宋体" w:eastAsia="宋体" w:cs="宋体"/>
                <w:i w:val="0"/>
                <w:iCs w:val="0"/>
                <w:color w:val="FF0000"/>
                <w:kern w:val="0"/>
                <w:sz w:val="21"/>
                <w:szCs w:val="21"/>
                <w:u w:val="none"/>
                <w:lang w:val="en-US" w:eastAsia="zh-CN" w:bidi="ar"/>
              </w:rPr>
              <w:t>24</w:t>
            </w:r>
          </w:p>
        </w:tc>
      </w:tr>
      <w:tr w14:paraId="219C9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FB74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4B11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接线板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5A64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17FEE">
            <w:pPr>
              <w:keepNext w:val="0"/>
              <w:keepLines w:val="0"/>
              <w:widowControl/>
              <w:suppressLineNumbers w:val="0"/>
              <w:jc w:val="left"/>
              <w:textAlignment w:val="center"/>
              <w:rPr>
                <w:rFonts w:hint="eastAsia" w:ascii="宋体" w:hAnsi="宋体" w:eastAsia="宋体" w:cs="宋体"/>
                <w:i w:val="0"/>
                <w:iCs w:val="0"/>
                <w:color w:val="FF0000"/>
                <w:sz w:val="21"/>
                <w:szCs w:val="21"/>
                <w:u w:val="none"/>
              </w:rPr>
            </w:pPr>
            <w:r>
              <w:rPr>
                <w:rFonts w:hint="eastAsia" w:ascii="宋体" w:hAnsi="宋体" w:eastAsia="宋体" w:cs="宋体"/>
                <w:i w:val="0"/>
                <w:iCs w:val="0"/>
                <w:color w:val="FF0000"/>
                <w:kern w:val="0"/>
                <w:sz w:val="21"/>
                <w:szCs w:val="21"/>
                <w:u w:val="none"/>
                <w:lang w:val="en-US" w:eastAsia="zh-CN" w:bidi="ar"/>
              </w:rPr>
              <w:t>1、6位总开关</w:t>
            </w:r>
            <w:r>
              <w:rPr>
                <w:rFonts w:hint="eastAsia" w:ascii="宋体" w:hAnsi="宋体" w:eastAsia="宋体" w:cs="宋体"/>
                <w:i w:val="0"/>
                <w:iCs w:val="0"/>
                <w:color w:val="FF0000"/>
                <w:kern w:val="0"/>
                <w:sz w:val="21"/>
                <w:szCs w:val="21"/>
                <w:u w:val="none"/>
                <w:lang w:val="en-US" w:eastAsia="zh-CN" w:bidi="ar"/>
              </w:rPr>
              <w:br w:type="textWrapping"/>
            </w:r>
            <w:r>
              <w:rPr>
                <w:rFonts w:hint="eastAsia" w:ascii="宋体" w:hAnsi="宋体" w:eastAsia="宋体" w:cs="宋体"/>
                <w:i w:val="0"/>
                <w:iCs w:val="0"/>
                <w:color w:val="FF0000"/>
                <w:kern w:val="0"/>
                <w:sz w:val="21"/>
                <w:szCs w:val="21"/>
                <w:u w:val="none"/>
                <w:lang w:val="en-US" w:eastAsia="zh-CN" w:bidi="ar"/>
              </w:rPr>
              <w:t>2、额定功率10A/2500W</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C71C0">
            <w:pPr>
              <w:keepNext w:val="0"/>
              <w:keepLines w:val="0"/>
              <w:widowControl/>
              <w:suppressLineNumbers w:val="0"/>
              <w:jc w:val="center"/>
              <w:textAlignment w:val="center"/>
              <w:rPr>
                <w:rFonts w:hint="eastAsia" w:ascii="宋体" w:hAnsi="宋体" w:eastAsia="宋体" w:cs="宋体"/>
                <w:i w:val="0"/>
                <w:iCs w:val="0"/>
                <w:color w:val="FF0000"/>
                <w:sz w:val="21"/>
                <w:szCs w:val="21"/>
                <w:u w:val="none"/>
              </w:rPr>
            </w:pPr>
            <w:r>
              <w:rPr>
                <w:rFonts w:hint="eastAsia" w:ascii="宋体" w:hAnsi="宋体" w:eastAsia="宋体" w:cs="宋体"/>
                <w:i w:val="0"/>
                <w:iCs w:val="0"/>
                <w:color w:val="FF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8CC91">
            <w:pPr>
              <w:keepNext w:val="0"/>
              <w:keepLines w:val="0"/>
              <w:widowControl/>
              <w:suppressLineNumbers w:val="0"/>
              <w:jc w:val="center"/>
              <w:textAlignment w:val="center"/>
              <w:rPr>
                <w:rFonts w:hint="eastAsia" w:ascii="宋体" w:hAnsi="宋体" w:eastAsia="宋体" w:cs="宋体"/>
                <w:i w:val="0"/>
                <w:iCs w:val="0"/>
                <w:color w:val="FF0000"/>
                <w:sz w:val="21"/>
                <w:szCs w:val="21"/>
                <w:u w:val="none"/>
              </w:rPr>
            </w:pPr>
            <w:r>
              <w:rPr>
                <w:rFonts w:hint="eastAsia" w:ascii="宋体" w:hAnsi="宋体" w:eastAsia="宋体" w:cs="宋体"/>
                <w:i w:val="0"/>
                <w:iCs w:val="0"/>
                <w:color w:val="FF0000"/>
                <w:kern w:val="0"/>
                <w:sz w:val="21"/>
                <w:szCs w:val="21"/>
                <w:u w:val="none"/>
                <w:lang w:val="en-US" w:eastAsia="zh-CN" w:bidi="ar"/>
              </w:rPr>
              <w:t>38</w:t>
            </w:r>
          </w:p>
        </w:tc>
      </w:tr>
      <w:tr w14:paraId="6F52CE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BCA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79A1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两相插头</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7135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88AE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10A</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1D36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DF22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r>
      <w:tr w14:paraId="3A127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8EB2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38BD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三相插头</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6F9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DE7E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10A</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0AE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F95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r>
      <w:tr w14:paraId="2F080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C9AB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0502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PVC电工胶布</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8F4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C0E6F5" w:fill="FFFFFF"/>
            <w:vAlign w:val="center"/>
          </w:tcPr>
          <w:p w14:paraId="1E1AC65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宽18mm,膜厚0.17mm,长度10y</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BC2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卷</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6C1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r>
      <w:tr w14:paraId="4144D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DE6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434C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高压防水自粘电工胶布</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5163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C0E6F5" w:fill="FFFFFF"/>
            <w:vAlign w:val="center"/>
          </w:tcPr>
          <w:p w14:paraId="7B53091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5Kv，宽25mm*长5y</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9E3A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卷</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CB06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r>
      <w:tr w14:paraId="6D6EB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C3C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606E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六类网线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E0E4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5953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1.传输速率：最高可达10Gbps。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2.传输距离：最大传输距离为100米。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3.阻抗：100欧姆。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4.频率响应：20MHz。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5.屏蔽：编织屏蔽或箔屏蔽。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6.连接器：RJ45连接器。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7.电缆结构：双绞线结构。</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8.外皮材料：PVC外皮。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9.传输速率：10/100/1000Mbps。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10.传输距离：最长可达100米。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11.阻抗：100欧姆。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12.频率响应：100MHz。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13.屏蔽：编织屏蔽或箔屏蔽。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14.连接器：RJ45连接器。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15.电缆结构：同轴电缆结构。</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16.外皮材料：PVC外皮。</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74C4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13C5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14:paraId="196CA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4D4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A4D5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水晶头</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35D2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F0A9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CAT-6</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3C82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E69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0.5</w:t>
            </w:r>
          </w:p>
        </w:tc>
      </w:tr>
      <w:tr w14:paraId="1A3A9A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396B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A814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防水网线直通</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096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1487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RJ45，塑料，防水</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7D7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694C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r>
      <w:tr w14:paraId="249FD8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0DD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5376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4芯光缆</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1726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2B16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4芯,单模</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2A66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0BD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r>
      <w:tr w14:paraId="405176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1127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0461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室外防水熔纤包</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D584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6D33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2进2出卧式光纤接头盒，12芯</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07E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2DC7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r>
      <w:tr w14:paraId="0E5F0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04FA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0E88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4口SC熔纤盒</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7010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5BC1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含法兰、尾纤</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742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39B1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r>
      <w:tr w14:paraId="34F8D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904A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D9B4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2米SC-SC单模单芯跳线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45F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FDFC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2米</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C42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363C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r>
      <w:tr w14:paraId="4503B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4BD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5E35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5米SC-SC单模单芯跳线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BDCF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B71F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5米</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C19E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BE63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r>
      <w:tr w14:paraId="7C1BF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CA16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EF28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2米FC-FC单模单芯跳线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582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7B82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2米</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C2C0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A9A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r>
      <w:tr w14:paraId="5C7F9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1409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5ECF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5米FC-FC单模单芯跳线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CC2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1719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5米</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BF8F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FBD8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r>
      <w:tr w14:paraId="3BB5A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1A94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C3AA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2米SC-FC单模单芯跳线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3CD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55FF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2米</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3090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4BB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r>
      <w:tr w14:paraId="066E2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6901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7631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2米LC-LC单模双芯跳线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4DDC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F688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2米</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DE1F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B088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r>
      <w:tr w14:paraId="41663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824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6625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10米LC-LC单模双芯跳线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0B2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99F1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10米</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F8B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FB7C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r>
      <w:tr w14:paraId="1F5E82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C32F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C55D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10米LC-LC多模双芯跳线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08EA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E55C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10米</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F792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7D5F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r>
      <w:tr w14:paraId="28791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99BC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F932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SC-SC法兰</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095A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CE64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SC-SC</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50B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487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14:paraId="2D0B4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EAD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2ECC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FC-FC法兰</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3C49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802D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FC-FC</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9B3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288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14:paraId="1C1A36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170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6C4C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LC-LC法兰</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31CD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5159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LC-LC</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B4E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BFB6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14:paraId="3DE94E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15EA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5D6E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室外弱电箱</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0533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785C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1、材质：不锈钢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2、尺寸：400*500*180mm</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FFF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4B46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r>
      <w:tr w14:paraId="6B98EA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375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E0C2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PVC管</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42F2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5002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1、材质：PVC</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2、长度：2.8m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3、管径：内径2mm</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EAE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B885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r>
      <w:tr w14:paraId="263E8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FCD0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2475" w:type="dxa"/>
            <w:tcBorders>
              <w:top w:val="single" w:color="000000" w:sz="4" w:space="0"/>
              <w:left w:val="single" w:color="000000" w:sz="4" w:space="0"/>
              <w:bottom w:val="single" w:color="000000" w:sz="4" w:space="0"/>
              <w:right w:val="single" w:color="000000" w:sz="4" w:space="0"/>
            </w:tcBorders>
            <w:shd w:val="clear" w:color="C0E6F5" w:fill="FFFFFF"/>
            <w:noWrap/>
            <w:vAlign w:val="center"/>
          </w:tcPr>
          <w:p w14:paraId="7E3610C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抱箍</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C39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C0E6F5" w:fill="FFFFFF"/>
            <w:vAlign w:val="center"/>
          </w:tcPr>
          <w:p w14:paraId="6EC89AF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1、不锈钢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2、直径78-100mm</w:t>
            </w:r>
          </w:p>
        </w:tc>
        <w:tc>
          <w:tcPr>
            <w:tcW w:w="705" w:type="dxa"/>
            <w:tcBorders>
              <w:top w:val="single" w:color="000000" w:sz="4" w:space="0"/>
              <w:left w:val="single" w:color="000000" w:sz="4" w:space="0"/>
              <w:bottom w:val="single" w:color="000000" w:sz="4" w:space="0"/>
              <w:right w:val="single" w:color="000000" w:sz="4" w:space="0"/>
            </w:tcBorders>
            <w:shd w:val="clear" w:color="C0E6F5" w:fill="FFFFFF"/>
            <w:noWrap/>
            <w:vAlign w:val="center"/>
          </w:tcPr>
          <w:p w14:paraId="0B6434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C0E6F5" w:fill="FFFFFF"/>
            <w:noWrap/>
            <w:vAlign w:val="center"/>
          </w:tcPr>
          <w:p w14:paraId="10E5974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r>
      <w:tr w14:paraId="204D5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BB7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2475" w:type="dxa"/>
            <w:tcBorders>
              <w:top w:val="single" w:color="000000" w:sz="4" w:space="0"/>
              <w:left w:val="single" w:color="000000" w:sz="4" w:space="0"/>
              <w:bottom w:val="single" w:color="000000" w:sz="4" w:space="0"/>
              <w:right w:val="single" w:color="000000" w:sz="4" w:space="0"/>
            </w:tcBorders>
            <w:shd w:val="clear" w:color="C0E6F5" w:fill="FFFFFF"/>
            <w:noWrap/>
            <w:vAlign w:val="center"/>
          </w:tcPr>
          <w:p w14:paraId="771D6F4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枪机支架</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84B3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C0E6F5" w:fill="FFFFFF"/>
            <w:vAlign w:val="center"/>
          </w:tcPr>
          <w:p w14:paraId="299C5B5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1、长度：300mm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2、材质：铝合金</w:t>
            </w:r>
          </w:p>
        </w:tc>
        <w:tc>
          <w:tcPr>
            <w:tcW w:w="705" w:type="dxa"/>
            <w:tcBorders>
              <w:top w:val="single" w:color="000000" w:sz="4" w:space="0"/>
              <w:left w:val="single" w:color="000000" w:sz="4" w:space="0"/>
              <w:bottom w:val="single" w:color="000000" w:sz="4" w:space="0"/>
              <w:right w:val="single" w:color="000000" w:sz="4" w:space="0"/>
            </w:tcBorders>
            <w:shd w:val="clear" w:color="C0E6F5" w:fill="FFFFFF"/>
            <w:noWrap/>
            <w:vAlign w:val="center"/>
          </w:tcPr>
          <w:p w14:paraId="293B6F5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C0E6F5" w:fill="FFFFFF"/>
            <w:noWrap/>
            <w:vAlign w:val="center"/>
          </w:tcPr>
          <w:p w14:paraId="30038E3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r>
      <w:tr w14:paraId="1EA73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EE83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2475" w:type="dxa"/>
            <w:tcBorders>
              <w:top w:val="single" w:color="000000" w:sz="4" w:space="0"/>
              <w:left w:val="single" w:color="000000" w:sz="4" w:space="0"/>
              <w:bottom w:val="single" w:color="000000" w:sz="4" w:space="0"/>
              <w:right w:val="single" w:color="000000" w:sz="4" w:space="0"/>
            </w:tcBorders>
            <w:shd w:val="clear" w:color="C0E6F5" w:fill="FFFFFF"/>
            <w:noWrap/>
            <w:vAlign w:val="center"/>
          </w:tcPr>
          <w:p w14:paraId="52710FD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监控双枪抱箍横臂支架</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71C0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C0E6F5" w:fill="FFFFFF"/>
            <w:vAlign w:val="center"/>
          </w:tcPr>
          <w:p w14:paraId="048C5B1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1、长度： 2米，含底座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2、管壁厚度：不小于1.5mm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3、底座厚度：不小于2.0mm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4、颜色：白色</w:t>
            </w:r>
          </w:p>
        </w:tc>
        <w:tc>
          <w:tcPr>
            <w:tcW w:w="705" w:type="dxa"/>
            <w:tcBorders>
              <w:top w:val="single" w:color="000000" w:sz="4" w:space="0"/>
              <w:left w:val="single" w:color="000000" w:sz="4" w:space="0"/>
              <w:bottom w:val="single" w:color="000000" w:sz="4" w:space="0"/>
              <w:right w:val="single" w:color="000000" w:sz="4" w:space="0"/>
            </w:tcBorders>
            <w:shd w:val="clear" w:color="C0E6F5" w:fill="FFFFFF"/>
            <w:noWrap/>
            <w:vAlign w:val="center"/>
          </w:tcPr>
          <w:p w14:paraId="5986FF6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C0E6F5" w:fill="FFFFFF"/>
            <w:noWrap/>
            <w:vAlign w:val="center"/>
          </w:tcPr>
          <w:p w14:paraId="0BD2D4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260</w:t>
            </w:r>
          </w:p>
        </w:tc>
      </w:tr>
      <w:tr w14:paraId="3395C2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C01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2475" w:type="dxa"/>
            <w:tcBorders>
              <w:top w:val="single" w:color="000000" w:sz="4" w:space="0"/>
              <w:left w:val="single" w:color="000000" w:sz="4" w:space="0"/>
              <w:bottom w:val="single" w:color="000000" w:sz="4" w:space="0"/>
              <w:right w:val="single" w:color="000000" w:sz="4" w:space="0"/>
            </w:tcBorders>
            <w:shd w:val="clear" w:color="C0E6F5" w:fill="FFFFFF"/>
            <w:noWrap/>
            <w:vAlign w:val="center"/>
          </w:tcPr>
          <w:p w14:paraId="525F9BE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3米立杆</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78D2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C0E6F5" w:fill="FFFFFF"/>
            <w:vAlign w:val="center"/>
          </w:tcPr>
          <w:p w14:paraId="46BC598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1、高度：3米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2、配2根1米横臂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3、含500mm高预埋件</w:t>
            </w:r>
          </w:p>
        </w:tc>
        <w:tc>
          <w:tcPr>
            <w:tcW w:w="705" w:type="dxa"/>
            <w:tcBorders>
              <w:top w:val="single" w:color="000000" w:sz="4" w:space="0"/>
              <w:left w:val="single" w:color="000000" w:sz="4" w:space="0"/>
              <w:bottom w:val="single" w:color="000000" w:sz="4" w:space="0"/>
              <w:right w:val="single" w:color="000000" w:sz="4" w:space="0"/>
            </w:tcBorders>
            <w:shd w:val="clear" w:color="C0E6F5" w:fill="FFFFFF"/>
            <w:noWrap/>
            <w:vAlign w:val="center"/>
          </w:tcPr>
          <w:p w14:paraId="63CD82B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727" w:type="dxa"/>
            <w:tcBorders>
              <w:top w:val="single" w:color="000000" w:sz="4" w:space="0"/>
              <w:left w:val="single" w:color="000000" w:sz="4" w:space="0"/>
              <w:bottom w:val="single" w:color="000000" w:sz="4" w:space="0"/>
              <w:right w:val="single" w:color="000000" w:sz="4" w:space="0"/>
            </w:tcBorders>
            <w:shd w:val="clear" w:color="C0E6F5" w:fill="FFFFFF"/>
            <w:noWrap/>
            <w:vAlign w:val="center"/>
          </w:tcPr>
          <w:p w14:paraId="421F5A7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800</w:t>
            </w:r>
          </w:p>
        </w:tc>
      </w:tr>
      <w:tr w14:paraId="48F003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89B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BA87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12V电源适配器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2A3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CA42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1、输入电压：AC220V±20％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2、输出电压：DC12V/2A</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23A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0FE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r>
      <w:tr w14:paraId="606103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5AF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5F28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12V抽拉室外防水电源适配器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F5D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95D9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1、输入电压：AC220V±20％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2、输出电压：DC12V/2A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3、材质：阻燃塑料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4、双隔层，双重保护避免雨水或虫子损坏电路板</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31AB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19A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r>
      <w:tr w14:paraId="70948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A9D0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2475" w:type="dxa"/>
            <w:tcBorders>
              <w:top w:val="single" w:color="000000" w:sz="4" w:space="0"/>
              <w:left w:val="single" w:color="000000" w:sz="4" w:space="0"/>
              <w:bottom w:val="single" w:color="000000" w:sz="4" w:space="0"/>
              <w:right w:val="single" w:color="000000" w:sz="4" w:space="0"/>
            </w:tcBorders>
            <w:shd w:val="clear" w:color="C0E6F5" w:fill="FFFFFF"/>
            <w:noWrap/>
            <w:vAlign w:val="center"/>
          </w:tcPr>
          <w:p w14:paraId="3F17D0C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24V球机专用电源</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81D6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C0E6F5" w:fill="FFFFFF"/>
            <w:vAlign w:val="center"/>
          </w:tcPr>
          <w:p w14:paraId="1554B5E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1、输入电压：AC220V±20％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2、输出电压：AC24V3A</w:t>
            </w:r>
          </w:p>
        </w:tc>
        <w:tc>
          <w:tcPr>
            <w:tcW w:w="705" w:type="dxa"/>
            <w:tcBorders>
              <w:top w:val="single" w:color="000000" w:sz="4" w:space="0"/>
              <w:left w:val="single" w:color="000000" w:sz="4" w:space="0"/>
              <w:bottom w:val="single" w:color="000000" w:sz="4" w:space="0"/>
              <w:right w:val="single" w:color="000000" w:sz="4" w:space="0"/>
            </w:tcBorders>
            <w:shd w:val="clear" w:color="C0E6F5" w:fill="FFFFFF"/>
            <w:noWrap/>
            <w:vAlign w:val="center"/>
          </w:tcPr>
          <w:p w14:paraId="1291A68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C0E6F5" w:fill="FFFFFF"/>
            <w:noWrap/>
            <w:vAlign w:val="center"/>
          </w:tcPr>
          <w:p w14:paraId="7A057D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r>
      <w:tr w14:paraId="08EE2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6F03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2475" w:type="dxa"/>
            <w:tcBorders>
              <w:top w:val="single" w:color="000000" w:sz="4" w:space="0"/>
              <w:left w:val="single" w:color="000000" w:sz="4" w:space="0"/>
              <w:bottom w:val="single" w:color="000000" w:sz="4" w:space="0"/>
              <w:right w:val="single" w:color="000000" w:sz="4" w:space="0"/>
            </w:tcBorders>
            <w:shd w:val="clear" w:color="C0E6F5" w:fill="FFFFFF"/>
            <w:noWrap/>
            <w:vAlign w:val="center"/>
          </w:tcPr>
          <w:p w14:paraId="3D75AA1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360W集中供电电源</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3E7D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C0E6F5" w:fill="FFFFFF"/>
            <w:vAlign w:val="center"/>
          </w:tcPr>
          <w:p w14:paraId="6EFFBAC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1、输入电压：AC220V±20％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2、输出电压：12V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3、输出电流：30A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4、输出电压可调节：±5％±10％；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5、保护功能：过载.过压.短路.过温等</w:t>
            </w:r>
          </w:p>
        </w:tc>
        <w:tc>
          <w:tcPr>
            <w:tcW w:w="705" w:type="dxa"/>
            <w:tcBorders>
              <w:top w:val="single" w:color="000000" w:sz="4" w:space="0"/>
              <w:left w:val="single" w:color="000000" w:sz="4" w:space="0"/>
              <w:bottom w:val="single" w:color="000000" w:sz="4" w:space="0"/>
              <w:right w:val="single" w:color="000000" w:sz="4" w:space="0"/>
            </w:tcBorders>
            <w:shd w:val="clear" w:color="C0E6F5" w:fill="FFFFFF"/>
            <w:noWrap/>
            <w:vAlign w:val="center"/>
          </w:tcPr>
          <w:p w14:paraId="1526757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C0E6F5" w:fill="FFFFFF"/>
            <w:noWrap/>
            <w:vAlign w:val="center"/>
          </w:tcPr>
          <w:p w14:paraId="7960934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w:t>
            </w:r>
          </w:p>
        </w:tc>
      </w:tr>
      <w:tr w14:paraId="589A7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93DF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2475" w:type="dxa"/>
            <w:tcBorders>
              <w:top w:val="single" w:color="000000" w:sz="4" w:space="0"/>
              <w:left w:val="single" w:color="000000" w:sz="4" w:space="0"/>
              <w:bottom w:val="single" w:color="000000" w:sz="4" w:space="0"/>
              <w:right w:val="single" w:color="000000" w:sz="4" w:space="0"/>
            </w:tcBorders>
            <w:shd w:val="clear" w:color="C0E6F5" w:fill="FFFFFF"/>
            <w:vAlign w:val="center"/>
          </w:tcPr>
          <w:p w14:paraId="1152244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5口非网管接入交换机</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4E12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C0E6F5" w:fill="FFFFFF"/>
            <w:vAlign w:val="center"/>
          </w:tcPr>
          <w:p w14:paraId="7F9A1AC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5口千兆非网管交换机，5个10/100/1000M自适应电口，非网管。</w:t>
            </w:r>
          </w:p>
        </w:tc>
        <w:tc>
          <w:tcPr>
            <w:tcW w:w="705" w:type="dxa"/>
            <w:tcBorders>
              <w:top w:val="single" w:color="000000" w:sz="4" w:space="0"/>
              <w:left w:val="single" w:color="000000" w:sz="4" w:space="0"/>
              <w:bottom w:val="single" w:color="000000" w:sz="4" w:space="0"/>
              <w:right w:val="single" w:color="000000" w:sz="4" w:space="0"/>
            </w:tcBorders>
            <w:shd w:val="clear" w:color="C0E6F5" w:fill="FFFFFF"/>
            <w:noWrap/>
            <w:vAlign w:val="center"/>
          </w:tcPr>
          <w:p w14:paraId="2AA77D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27" w:type="dxa"/>
            <w:tcBorders>
              <w:top w:val="single" w:color="000000" w:sz="4" w:space="0"/>
              <w:left w:val="single" w:color="000000" w:sz="4" w:space="0"/>
              <w:bottom w:val="single" w:color="000000" w:sz="4" w:space="0"/>
              <w:right w:val="single" w:color="000000" w:sz="4" w:space="0"/>
            </w:tcBorders>
            <w:shd w:val="clear" w:color="C0E6F5" w:fill="FFFFFF"/>
            <w:noWrap/>
            <w:vAlign w:val="center"/>
          </w:tcPr>
          <w:p w14:paraId="427396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r>
      <w:tr w14:paraId="5E350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BC7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2475" w:type="dxa"/>
            <w:tcBorders>
              <w:top w:val="single" w:color="000000" w:sz="4" w:space="0"/>
              <w:left w:val="single" w:color="000000" w:sz="4" w:space="0"/>
              <w:bottom w:val="single" w:color="000000" w:sz="4" w:space="0"/>
              <w:right w:val="single" w:color="000000" w:sz="4" w:space="0"/>
            </w:tcBorders>
            <w:shd w:val="clear" w:color="C0E6F5" w:fill="FFFFFF"/>
            <w:vAlign w:val="center"/>
          </w:tcPr>
          <w:p w14:paraId="431B669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8口非网管接入交换机</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D54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C0E6F5" w:fill="FFFFFF"/>
            <w:vAlign w:val="center"/>
          </w:tcPr>
          <w:p w14:paraId="52ADC35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8口千兆非网管交换机，8个10/100/1000M自适应电口，非网管。</w:t>
            </w:r>
          </w:p>
        </w:tc>
        <w:tc>
          <w:tcPr>
            <w:tcW w:w="705" w:type="dxa"/>
            <w:tcBorders>
              <w:top w:val="single" w:color="000000" w:sz="4" w:space="0"/>
              <w:left w:val="single" w:color="000000" w:sz="4" w:space="0"/>
              <w:bottom w:val="single" w:color="000000" w:sz="4" w:space="0"/>
              <w:right w:val="single" w:color="000000" w:sz="4" w:space="0"/>
            </w:tcBorders>
            <w:shd w:val="clear" w:color="C0E6F5" w:fill="FFFFFF"/>
            <w:noWrap/>
            <w:vAlign w:val="center"/>
          </w:tcPr>
          <w:p w14:paraId="23DF8F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27" w:type="dxa"/>
            <w:tcBorders>
              <w:top w:val="single" w:color="000000" w:sz="4" w:space="0"/>
              <w:left w:val="single" w:color="000000" w:sz="4" w:space="0"/>
              <w:bottom w:val="single" w:color="000000" w:sz="4" w:space="0"/>
              <w:right w:val="single" w:color="000000" w:sz="4" w:space="0"/>
            </w:tcBorders>
            <w:shd w:val="clear" w:color="C0E6F5" w:fill="FFFFFF"/>
            <w:noWrap/>
            <w:vAlign w:val="center"/>
          </w:tcPr>
          <w:p w14:paraId="666C78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w:t>
            </w:r>
          </w:p>
        </w:tc>
      </w:tr>
      <w:tr w14:paraId="7F808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FA1F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BB94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8口POE交换机</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9B5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6ACD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提供8个千兆PoE电口、2个千兆光口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交换容量：20 Gbps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包转发率：14.88 Mpps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支持IEEE 802.3at/af标准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端口最大供电功率：30 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整机最大供电功率：110 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支持PoE看门狗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支持6 KV防浪涌（PoE口）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支持IEEE 802.3、IEEE 802.3u、IEEE 802.3x、IEEE 802.3ab、IEEE 802.3z标准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支持管理平台管理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支持手机APP管理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支持安防网络拓扑管理、链路聚合、端口管理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支持远程升级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支持PoE输出功率管理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支持VLAN</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支持SNMPv1/v2c协议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支持DHCP Snooping</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支持终端安全防护</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坚固式高强度金属外壳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无风扇设计，高可靠性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安装方式：桌面式可壁挂</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2AD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8723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630</w:t>
            </w:r>
          </w:p>
        </w:tc>
      </w:tr>
      <w:tr w14:paraId="67C401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65B8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52AC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8口网管接入交换机</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3AF1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8CF0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1、交换容量≥670Gbps；转发性能≥102Mpp；</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2、配置≥8个10/100/1000 Base-T以太网端口，4个千兆SFP端口，支持POE/POE+，POE功率≥120W；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3、MAC地址规格≥8K，支持MAC地址自动学习和老化；</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4、支持4K个VLAN，支持1:1和N:1 VLAN Mapping功能；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5、支持静态路由、RIPv1/2、RIPng；</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6、支持纵向虚拟化，作为纵向子节点零配置即插即用；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7、支持智能堆叠，堆叠主机数≥9台；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8、防雷等级≥10KV；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9、设备采用静音设计，无风扇自然散热。</w:t>
            </w:r>
          </w:p>
        </w:tc>
        <w:tc>
          <w:tcPr>
            <w:tcW w:w="705" w:type="dxa"/>
            <w:tcBorders>
              <w:top w:val="single" w:color="000000" w:sz="4" w:space="0"/>
              <w:left w:val="single" w:color="000000" w:sz="4" w:space="0"/>
              <w:bottom w:val="single" w:color="000000" w:sz="4" w:space="0"/>
              <w:right w:val="single" w:color="000000" w:sz="4" w:space="0"/>
            </w:tcBorders>
            <w:shd w:val="clear" w:color="C0E6F5" w:fill="FFFFFF"/>
            <w:noWrap/>
            <w:vAlign w:val="center"/>
          </w:tcPr>
          <w:p w14:paraId="6E4026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2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B214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1550</w:t>
            </w:r>
          </w:p>
        </w:tc>
      </w:tr>
      <w:tr w14:paraId="75E30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82B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04BB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24口网管交换机</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C72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57D7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1、交换容量≥670Gbps；转发性能≥126Mpp；</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2、配置≥24个10/100/1000 Base-T以太网端口，4个千兆SFP端口；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3、MAC地址规格≥16K，支持MAC地址自动学习和老化；</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4、支持4K个VLAN，支持1:1和N:1 VLAN Mapping功能；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5、支持静态路由、RIPv1/2、RIPng、OSPF、OSPFv3；</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6、支持纵向虚拟化，作为纵向子节点零配置即插即用；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7、支持智能堆叠，堆叠主机数≥9台；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8、防雷等级≥10KV；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9、设备采用静音设计，无风扇自然散热。</w:t>
            </w:r>
          </w:p>
        </w:tc>
        <w:tc>
          <w:tcPr>
            <w:tcW w:w="705" w:type="dxa"/>
            <w:tcBorders>
              <w:top w:val="single" w:color="000000" w:sz="4" w:space="0"/>
              <w:left w:val="single" w:color="000000" w:sz="4" w:space="0"/>
              <w:bottom w:val="single" w:color="000000" w:sz="4" w:space="0"/>
              <w:right w:val="single" w:color="000000" w:sz="4" w:space="0"/>
            </w:tcBorders>
            <w:shd w:val="clear" w:color="C0E6F5" w:fill="FFFFFF"/>
            <w:noWrap/>
            <w:vAlign w:val="center"/>
          </w:tcPr>
          <w:p w14:paraId="081799C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FE89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1320</w:t>
            </w:r>
          </w:p>
        </w:tc>
      </w:tr>
      <w:tr w14:paraId="7D835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E630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75DA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24口光交换机</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E71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898D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1、交换容量≥670Gbps；转发性能≥171Mpps；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2、配置≥24个千兆SFP，≥8个复用10/100/1000BASE-T以太网端口Combo，≥4个万兆SFP+，≥2个专用堆叠口;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4、支持IPV6特性，支持IPV6 Ping、IPV6 Telnet；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5、支持静态路由、RIP V1/2、OSPF协议；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6、具备恢复出厂配置和复位设备的按钮；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7、支持G.8032以太环保护协议；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★★1、为提升网络骨干的安全性，确保技术自主可控、降低安全风险，所投交换机具备自主可控能力，产品的关键芯片（CPU 芯片）由产品制造商自研国产化芯片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提供第三方报告复印件并加盖原厂鲜章证明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★★2、为保障网络的运维使用及安全性，所投交换机支持CPCAR、攻击溯源、DAI、可信启动、数字签名等功能，提供第三方报告复印件并加盖原厂鲜章证明</w:t>
            </w:r>
          </w:p>
        </w:tc>
        <w:tc>
          <w:tcPr>
            <w:tcW w:w="705" w:type="dxa"/>
            <w:tcBorders>
              <w:top w:val="single" w:color="000000" w:sz="4" w:space="0"/>
              <w:left w:val="single" w:color="000000" w:sz="4" w:space="0"/>
              <w:bottom w:val="single" w:color="000000" w:sz="4" w:space="0"/>
              <w:right w:val="single" w:color="000000" w:sz="4" w:space="0"/>
            </w:tcBorders>
            <w:shd w:val="clear" w:color="C0E6F5" w:fill="FFFFFF"/>
            <w:noWrap/>
            <w:vAlign w:val="center"/>
          </w:tcPr>
          <w:p w14:paraId="588BCE4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9076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5220</w:t>
            </w:r>
          </w:p>
        </w:tc>
      </w:tr>
      <w:tr w14:paraId="7B136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A56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C177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千兆光纤收发器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263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91F2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27"/>
                <w:sz w:val="21"/>
                <w:szCs w:val="21"/>
                <w:lang w:val="en-US" w:eastAsia="zh-CN" w:bidi="ar"/>
              </w:rPr>
              <w:t>接口类型：</w:t>
            </w:r>
            <w:r>
              <w:rPr>
                <w:rStyle w:val="28"/>
                <w:rFonts w:eastAsia="宋体"/>
                <w:sz w:val="21"/>
                <w:szCs w:val="21"/>
                <w:lang w:val="en-US" w:eastAsia="zh-CN" w:bidi="ar"/>
              </w:rPr>
              <w:t>‌</w:t>
            </w:r>
            <w:r>
              <w:rPr>
                <w:rStyle w:val="27"/>
                <w:sz w:val="21"/>
                <w:szCs w:val="21"/>
                <w:lang w:val="en-US" w:eastAsia="zh-CN" w:bidi="ar"/>
              </w:rPr>
              <w:t>提供一个1000Mbps电口和一个1.25Gbps SC光口，</w:t>
            </w:r>
            <w:r>
              <w:rPr>
                <w:rStyle w:val="28"/>
                <w:rFonts w:eastAsia="宋体"/>
                <w:sz w:val="21"/>
                <w:szCs w:val="21"/>
                <w:lang w:val="en-US" w:eastAsia="zh-CN" w:bidi="ar"/>
              </w:rPr>
              <w:t>‌</w:t>
            </w:r>
            <w:r>
              <w:rPr>
                <w:rStyle w:val="27"/>
                <w:sz w:val="21"/>
                <w:szCs w:val="21"/>
                <w:lang w:val="en-US" w:eastAsia="zh-CN" w:bidi="ar"/>
              </w:rPr>
              <w:t>支持RJ-45和SC接口类型。</w:t>
            </w:r>
            <w:r>
              <w:rPr>
                <w:rStyle w:val="28"/>
                <w:rFonts w:eastAsia="宋体"/>
                <w:sz w:val="21"/>
                <w:szCs w:val="21"/>
                <w:lang w:val="en-US" w:eastAsia="zh-CN" w:bidi="ar"/>
              </w:rPr>
              <w:t>‌</w:t>
            </w:r>
            <w:r>
              <w:rPr>
                <w:rStyle w:val="27"/>
                <w:sz w:val="21"/>
                <w:szCs w:val="21"/>
                <w:lang w:val="en-US" w:eastAsia="zh-CN" w:bidi="ar"/>
              </w:rPr>
              <w:br w:type="textWrapping"/>
            </w:r>
            <w:r>
              <w:rPr>
                <w:rStyle w:val="27"/>
                <w:sz w:val="21"/>
                <w:szCs w:val="21"/>
                <w:lang w:val="en-US" w:eastAsia="zh-CN" w:bidi="ar"/>
              </w:rPr>
              <w:t>传输技术：</w:t>
            </w:r>
            <w:r>
              <w:rPr>
                <w:rStyle w:val="28"/>
                <w:rFonts w:eastAsia="宋体"/>
                <w:sz w:val="21"/>
                <w:szCs w:val="21"/>
                <w:lang w:val="en-US" w:eastAsia="zh-CN" w:bidi="ar"/>
              </w:rPr>
              <w:t>‌</w:t>
            </w:r>
            <w:r>
              <w:rPr>
                <w:rStyle w:val="27"/>
                <w:sz w:val="21"/>
                <w:szCs w:val="21"/>
                <w:lang w:val="en-US" w:eastAsia="zh-CN" w:bidi="ar"/>
              </w:rPr>
              <w:t>采用波分复用技术，</w:t>
            </w:r>
            <w:r>
              <w:rPr>
                <w:rStyle w:val="28"/>
                <w:rFonts w:eastAsia="宋体"/>
                <w:sz w:val="21"/>
                <w:szCs w:val="21"/>
                <w:lang w:val="en-US" w:eastAsia="zh-CN" w:bidi="ar"/>
              </w:rPr>
              <w:t>‌</w:t>
            </w:r>
            <w:r>
              <w:rPr>
                <w:rStyle w:val="27"/>
                <w:sz w:val="21"/>
                <w:szCs w:val="21"/>
                <w:lang w:val="en-US" w:eastAsia="zh-CN" w:bidi="ar"/>
              </w:rPr>
              <w:t>发送波长为1550nm，</w:t>
            </w:r>
            <w:r>
              <w:rPr>
                <w:rStyle w:val="28"/>
                <w:rFonts w:eastAsia="宋体"/>
                <w:sz w:val="21"/>
                <w:szCs w:val="21"/>
                <w:lang w:val="en-US" w:eastAsia="zh-CN" w:bidi="ar"/>
              </w:rPr>
              <w:t>‌</w:t>
            </w:r>
            <w:r>
              <w:rPr>
                <w:rStyle w:val="27"/>
                <w:sz w:val="21"/>
                <w:szCs w:val="21"/>
                <w:lang w:val="en-US" w:eastAsia="zh-CN" w:bidi="ar"/>
              </w:rPr>
              <w:t>接收波长为1310nm，</w:t>
            </w:r>
            <w:r>
              <w:rPr>
                <w:rStyle w:val="28"/>
                <w:rFonts w:eastAsia="宋体"/>
                <w:sz w:val="21"/>
                <w:szCs w:val="21"/>
                <w:lang w:val="en-US" w:eastAsia="zh-CN" w:bidi="ar"/>
              </w:rPr>
              <w:t>‌</w:t>
            </w:r>
            <w:r>
              <w:rPr>
                <w:rStyle w:val="27"/>
                <w:sz w:val="21"/>
                <w:szCs w:val="21"/>
                <w:lang w:val="en-US" w:eastAsia="zh-CN" w:bidi="ar"/>
              </w:rPr>
              <w:t>通过一根单模光纤同时接收和发送数据。</w:t>
            </w:r>
            <w:r>
              <w:rPr>
                <w:rStyle w:val="28"/>
                <w:rFonts w:eastAsia="宋体"/>
                <w:sz w:val="21"/>
                <w:szCs w:val="21"/>
                <w:lang w:val="en-US" w:eastAsia="zh-CN" w:bidi="ar"/>
              </w:rPr>
              <w:t>‌</w:t>
            </w:r>
            <w:r>
              <w:rPr>
                <w:rStyle w:val="27"/>
                <w:sz w:val="21"/>
                <w:szCs w:val="21"/>
                <w:lang w:val="en-US" w:eastAsia="zh-CN" w:bidi="ar"/>
              </w:rPr>
              <w:br w:type="textWrapping"/>
            </w:r>
            <w:r>
              <w:rPr>
                <w:rStyle w:val="27"/>
                <w:sz w:val="21"/>
                <w:szCs w:val="21"/>
                <w:lang w:val="en-US" w:eastAsia="zh-CN" w:bidi="ar"/>
              </w:rPr>
              <w:t>传输距离：</w:t>
            </w:r>
            <w:r>
              <w:rPr>
                <w:rStyle w:val="28"/>
                <w:rFonts w:eastAsia="宋体"/>
                <w:sz w:val="21"/>
                <w:szCs w:val="21"/>
                <w:lang w:val="en-US" w:eastAsia="zh-CN" w:bidi="ar"/>
              </w:rPr>
              <w:t>‌</w:t>
            </w:r>
            <w:r>
              <w:rPr>
                <w:rStyle w:val="27"/>
                <w:sz w:val="21"/>
                <w:szCs w:val="21"/>
                <w:lang w:val="en-US" w:eastAsia="zh-CN" w:bidi="ar"/>
              </w:rPr>
              <w:t>最远传输距离可达20公里。</w:t>
            </w:r>
            <w:r>
              <w:rPr>
                <w:rStyle w:val="28"/>
                <w:rFonts w:eastAsia="宋体"/>
                <w:sz w:val="21"/>
                <w:szCs w:val="21"/>
                <w:lang w:val="en-US" w:eastAsia="zh-CN" w:bidi="ar"/>
              </w:rPr>
              <w:t>‌</w:t>
            </w:r>
            <w:r>
              <w:rPr>
                <w:rStyle w:val="27"/>
                <w:sz w:val="21"/>
                <w:szCs w:val="21"/>
                <w:lang w:val="en-US" w:eastAsia="zh-CN" w:bidi="ar"/>
              </w:rPr>
              <w:br w:type="textWrapping"/>
            </w:r>
            <w:r>
              <w:rPr>
                <w:rStyle w:val="27"/>
                <w:sz w:val="21"/>
                <w:szCs w:val="21"/>
                <w:lang w:val="en-US" w:eastAsia="zh-CN" w:bidi="ar"/>
              </w:rPr>
              <w:t>工作温度范围：</w:t>
            </w:r>
            <w:r>
              <w:rPr>
                <w:rStyle w:val="28"/>
                <w:rFonts w:eastAsia="宋体"/>
                <w:sz w:val="21"/>
                <w:szCs w:val="21"/>
                <w:lang w:val="en-US" w:eastAsia="zh-CN" w:bidi="ar"/>
              </w:rPr>
              <w:t>‌</w:t>
            </w:r>
            <w:r>
              <w:rPr>
                <w:rStyle w:val="27"/>
                <w:sz w:val="21"/>
                <w:szCs w:val="21"/>
                <w:lang w:val="en-US" w:eastAsia="zh-CN" w:bidi="ar"/>
              </w:rPr>
              <w:t>-40℃到75℃，</w:t>
            </w:r>
            <w:r>
              <w:rPr>
                <w:rStyle w:val="28"/>
                <w:rFonts w:eastAsia="宋体"/>
                <w:sz w:val="21"/>
                <w:szCs w:val="21"/>
                <w:lang w:val="en-US" w:eastAsia="zh-CN" w:bidi="ar"/>
              </w:rPr>
              <w:t>‌</w:t>
            </w:r>
            <w:r>
              <w:rPr>
                <w:rStyle w:val="27"/>
                <w:sz w:val="21"/>
                <w:szCs w:val="21"/>
                <w:lang w:val="en-US" w:eastAsia="zh-CN" w:bidi="ar"/>
              </w:rPr>
              <w:t>适应恶劣环境条件。</w:t>
            </w:r>
            <w:r>
              <w:rPr>
                <w:rStyle w:val="28"/>
                <w:rFonts w:eastAsia="宋体"/>
                <w:sz w:val="21"/>
                <w:szCs w:val="21"/>
                <w:lang w:val="en-US" w:eastAsia="zh-CN" w:bidi="ar"/>
              </w:rPr>
              <w:t>‌</w:t>
            </w:r>
            <w:r>
              <w:rPr>
                <w:rStyle w:val="27"/>
                <w:sz w:val="21"/>
                <w:szCs w:val="21"/>
                <w:lang w:val="en-US" w:eastAsia="zh-CN" w:bidi="ar"/>
              </w:rPr>
              <w:br w:type="textWrapping"/>
            </w:r>
            <w:r>
              <w:rPr>
                <w:rStyle w:val="27"/>
                <w:sz w:val="21"/>
                <w:szCs w:val="21"/>
                <w:lang w:val="en-US" w:eastAsia="zh-CN" w:bidi="ar"/>
              </w:rPr>
              <w:t>环境参数：</w:t>
            </w:r>
            <w:r>
              <w:rPr>
                <w:rStyle w:val="28"/>
                <w:rFonts w:eastAsia="宋体"/>
                <w:sz w:val="21"/>
                <w:szCs w:val="21"/>
                <w:lang w:val="en-US" w:eastAsia="zh-CN" w:bidi="ar"/>
              </w:rPr>
              <w:t>‌</w:t>
            </w:r>
            <w:r>
              <w:rPr>
                <w:rStyle w:val="27"/>
                <w:sz w:val="21"/>
                <w:szCs w:val="21"/>
                <w:lang w:val="en-US" w:eastAsia="zh-CN" w:bidi="ar"/>
              </w:rPr>
              <w:t>工作湿度10%到90%RH（</w:t>
            </w:r>
            <w:r>
              <w:rPr>
                <w:rStyle w:val="28"/>
                <w:rFonts w:eastAsia="宋体"/>
                <w:sz w:val="21"/>
                <w:szCs w:val="21"/>
                <w:lang w:val="en-US" w:eastAsia="zh-CN" w:bidi="ar"/>
              </w:rPr>
              <w:t>‌</w:t>
            </w:r>
            <w:r>
              <w:rPr>
                <w:rStyle w:val="27"/>
                <w:sz w:val="21"/>
                <w:szCs w:val="21"/>
                <w:lang w:val="en-US" w:eastAsia="zh-CN" w:bidi="ar"/>
              </w:rPr>
              <w:t>不凝结）</w:t>
            </w:r>
            <w:r>
              <w:rPr>
                <w:rStyle w:val="28"/>
                <w:rFonts w:eastAsia="宋体"/>
                <w:sz w:val="21"/>
                <w:szCs w:val="21"/>
                <w:lang w:val="en-US" w:eastAsia="zh-CN" w:bidi="ar"/>
              </w:rPr>
              <w:t>‌</w:t>
            </w:r>
            <w:r>
              <w:rPr>
                <w:rStyle w:val="27"/>
                <w:sz w:val="21"/>
                <w:szCs w:val="21"/>
                <w:lang w:val="en-US" w:eastAsia="zh-CN" w:bidi="ar"/>
              </w:rPr>
              <w:t>，</w:t>
            </w:r>
            <w:r>
              <w:rPr>
                <w:rStyle w:val="28"/>
                <w:rFonts w:eastAsia="宋体"/>
                <w:sz w:val="21"/>
                <w:szCs w:val="21"/>
                <w:lang w:val="en-US" w:eastAsia="zh-CN" w:bidi="ar"/>
              </w:rPr>
              <w:t>‌</w:t>
            </w:r>
            <w:r>
              <w:rPr>
                <w:rStyle w:val="27"/>
                <w:sz w:val="21"/>
                <w:szCs w:val="21"/>
                <w:lang w:val="en-US" w:eastAsia="zh-CN" w:bidi="ar"/>
              </w:rPr>
              <w:t>存储温度-40℃到70℃，</w:t>
            </w:r>
            <w:r>
              <w:rPr>
                <w:rStyle w:val="28"/>
                <w:rFonts w:eastAsia="宋体"/>
                <w:sz w:val="21"/>
                <w:szCs w:val="21"/>
                <w:lang w:val="en-US" w:eastAsia="zh-CN" w:bidi="ar"/>
              </w:rPr>
              <w:t>‌</w:t>
            </w:r>
            <w:r>
              <w:rPr>
                <w:rStyle w:val="27"/>
                <w:sz w:val="21"/>
                <w:szCs w:val="21"/>
                <w:lang w:val="en-US" w:eastAsia="zh-CN" w:bidi="ar"/>
              </w:rPr>
              <w:t>存储湿度5%到90%RH（</w:t>
            </w:r>
            <w:r>
              <w:rPr>
                <w:rStyle w:val="28"/>
                <w:rFonts w:eastAsia="宋体"/>
                <w:sz w:val="21"/>
                <w:szCs w:val="21"/>
                <w:lang w:val="en-US" w:eastAsia="zh-CN" w:bidi="ar"/>
              </w:rPr>
              <w:t>‌</w:t>
            </w:r>
            <w:r>
              <w:rPr>
                <w:rStyle w:val="27"/>
                <w:sz w:val="21"/>
                <w:szCs w:val="21"/>
                <w:lang w:val="en-US" w:eastAsia="zh-CN" w:bidi="ar"/>
              </w:rPr>
              <w:t>不凝结）</w:t>
            </w:r>
            <w:r>
              <w:rPr>
                <w:rStyle w:val="28"/>
                <w:rFonts w:eastAsia="宋体"/>
                <w:sz w:val="21"/>
                <w:szCs w:val="21"/>
                <w:lang w:val="en-US" w:eastAsia="zh-CN" w:bidi="ar"/>
              </w:rPr>
              <w:t>‌</w:t>
            </w:r>
            <w:r>
              <w:rPr>
                <w:rStyle w:val="27"/>
                <w:sz w:val="21"/>
                <w:szCs w:val="21"/>
                <w:lang w:val="en-US" w:eastAsia="zh-CN" w:bidi="ar"/>
              </w:rPr>
              <w:t>。</w:t>
            </w:r>
            <w:r>
              <w:rPr>
                <w:rStyle w:val="28"/>
                <w:rFonts w:eastAsia="宋体"/>
                <w:sz w:val="21"/>
                <w:szCs w:val="21"/>
                <w:lang w:val="en-US" w:eastAsia="zh-CN" w:bidi="ar"/>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D120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26A5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270</w:t>
            </w:r>
          </w:p>
        </w:tc>
      </w:tr>
      <w:tr w14:paraId="727CE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0823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DF86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千兆光模块</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8CF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0BAC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10D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4CBC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w:t>
            </w:r>
          </w:p>
        </w:tc>
      </w:tr>
      <w:tr w14:paraId="0E4E8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3178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9E34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400W红外筒形摄像机</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FC8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DB96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400万筒型网络摄像机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最高分辨率可达2560 × 1440 @25 fps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支持SmartIR，防止夜间红外过曝</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支持背光补偿，强光抑制，3D数字降噪，数字宽动态，适应不同使用环境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支持开放型网络视频接口，ISAPI，SDK，GB28181协议，支持萤石平台接入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1个内置麦克风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智能补光，支持白光/红外双补光，红外光最远可达50 m，白光最远可达30 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符合IP67防尘防水设计，可靠性高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传感器类型：1/2.7" Progressive Scan CMOS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最低照度：彩色：0.005 Lux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宽动态：数字宽动态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焦距&amp;视场角：4 mm，水平视场角：70°，垂直视场角：35°，对角视场角：85°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 mm，水平视场角：46°，垂直视场角：24°，对角视场角：54°</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 mm，水平视场角：43°，垂直视场角：24°，对角视场角：50°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12 mm，水平视场角：27°，垂直视场角：15°，对角视场角：31°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红外波长范围：850 nm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防补光过曝：支持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补光灯类型：智能补光，可切换白光灯、红外灯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补光距离：红外光最远可达50 m，白光最远可达30 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最大分辨率：2560 × 1440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视频压缩标准：主码流：H.265/H.264/Smart264/Smart265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子码流：H.265/H.264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音频：1个内置麦克风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网络：1个RJ45 10 M/100 M自适应以太网口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启动及工作温湿度：-30 ℃~60 ℃，湿度小于95%（无凝结）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存储温湿度：-30 ℃~60 ℃，湿度小于95%（无凝结）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恢复出厂设置：支持客户端或浏览器恢复</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供电方式：DC：12 V ± 25%，支持防反接保护</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PoE：IEEE 802.3af，Class 3</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电流及功耗：DC：12 V，0.42 A，最大功耗：5 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PoE：IEEE 802.3af，CLASS 3，最大功耗：6.5 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电源接口类型：Ø5.5 mm圆口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产品尺寸：87.1 × 83.7 × 171.7 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包装尺寸：216 × 121 × 118 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设备重量：360 g</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带包装重量：540 g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防护：IP67 </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DDE5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88F2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615</w:t>
            </w:r>
          </w:p>
        </w:tc>
      </w:tr>
      <w:tr w14:paraId="75C36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3B2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9596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400W全彩筒形摄像机</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B040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8CC9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400万臻全彩筒型网络摄像机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海康威视臻全彩筒型网络摄像机，采用全彩级高灵敏度传感器，F1.0超大光圈镜头，最高分辨率可达400万像素，并在此分辨率下可输出25 fps实时图像，图像更流畅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支持区域入侵侦测，越界侦测，进入区域侦测，离开区域侦测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支持萤石云平台接入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支持背光补偿，强光抑制，3D数字降噪，120 dB宽动态适应不同环境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1个内置麦克风，高清拾音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支持柔光灯补光，照射距离最远可达30 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符合IP67防尘防水设计，可靠性高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传感器类型：1/1.8" Progressive Scan CMOS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最低照度：彩色：0.0005 Lux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宽动态：120 dB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景深范围：2.8 mm：2.5 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 mm：2.8 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6 mm：6.8 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8 mm：8.8 m~135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焦距&amp;视场角：2.8 mm，水平视场角：105°，垂直视场角：55°，对角视场角：125°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 mm，水平视场角：89°，垂直视场角：48°，对角视场角：104°</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6 mm，水平视场角：55°，垂直视场角：29°，对角视场角：64°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8 mm，水平视场角：41°，垂直视场角：23°，对角视场角：47°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补光距离：最远可达30 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防补光过曝：支持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补光灯类型：柔光灯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最大图像尺寸：2560 × 1440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视频压缩标准：主码流：H.265/H.264，支持超级智能编码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子码流：H.265/H.264/MJPEG</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第三码流：H.265/H.264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音频：1个内置麦克风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网络：1个RJ45 10 M/100 M自适应以太网口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恢复出厂设置：支持客户端或浏览器恢复</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启动和工作温湿度：-30 ℃~60 ℃，湿度小于95%（无凝结）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供电方式：DC：12 V ± 25%，支持防反接保护</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电流及功耗：DC：12 V，0.54 A，最大功耗：6.5 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电源接口类型：Ø5.5 mm圆口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产品尺寸：2.8 mm焦距段型号： 182.8 × 92.7 × 87.6 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其他焦距段型号： 189.4 × 92.7 × 87.6 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包装尺寸：235 × 120 × 125 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设备重量：620 g</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带包装重量：826 g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防护：IP67 </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1ED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C1C8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660</w:t>
            </w:r>
          </w:p>
        </w:tc>
      </w:tr>
      <w:tr w14:paraId="2BD7E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9E90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0686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400W半球摄像机</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D428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C7CF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400万半球型网络摄像机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最高分辨率可达2560 × 1440 @25 fps，在该分辨率下可输出实时图像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支持背光补偿，强光抑制，3D数字降噪，120 dB宽动态，适应不同环境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支持萤石平台接入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采用高效阵列红外灯，使用寿命长，红外照射距离最远可达30 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支持最大512 GB MicroSD/MicroSDHC/MicroSDXC卡本地存储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支持1路报警输入，1路报警输出（报警输出最大支持DC12 V，30 mA），1路音频输入，1路音频输出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符合IP67，IK10，可靠性高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传感器类型：1/2.7" Progressive Scan CMOS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最低照度：彩色：0.005 Lux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调节角度：水平：0°~355°，垂直：0°~75°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焦距&amp;视场角：2.8 mm，水平视场角：91.1°，垂直视场角：47.9°，对角视场角：110.8°</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 mm，水平视场角：78.3°，垂直视场角：43°，对角视场角：92.3°</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 mm，水平视场角：50.8°，垂直视场角：26.3°，对角视场角：60.5°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 mm，水平视场角：43.7°，垂直视场角：23.8°，对角视场角：51.2°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景深范围：2.8 mm: 1.2 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 mm: 1.3 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 mm: 3.4 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8 mm: 5.1 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补光灯类型：红外灯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补光距离：最远可达30 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红外波长范围：850 nm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最大分辨率：2560 × 1440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视频压缩标准：主码流：H.265/H.264，支持超级智能编码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子码流：H.265/H.264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网络：1个RJ45 10 M/100 M自适应以太网口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SD卡扩展：内置MicroSD/MicroSDHC/MicroSDXC 插槽，最大支持512 GB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音频：1路输入（Line in），最大输入幅值：3.3 Vpp，输入阻抗：4.7 kΩ，接口类型：非平衡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1路输出（Line out），最大输出幅值：3.3 Vpp，输出阻抗：100 Ω，接口类型：非平衡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报警：1路输入，1路输出（报警输出最大支持DC12 V，30 mA）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复位：支持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电源输出：DC12 V，100 mA电源输出，建议用于拾音器供电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恢复出厂设置：支持RESET按键，客户端或浏览器恢复</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产品尺寸：Ø110.8 × 84.7 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包装尺寸：134 × 134 × 108 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设备重量：380 g</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带包装重量：460 g</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启动和工作温湿度：-30 ℃~60 °C，湿度小于95%（无凝结）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电流及功耗：DC：12 V，0.5 A，最大功耗：6 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PoE：IEEE 802.3af，CLASS 3，最大功耗：7.5 W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供电方式：DC：12 V ± 25%，支持防反接保护</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PoE：IEEE 802.3af，CLASS 3</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电源接口类型：Ø5.5 mm圆口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防护：IP67，IK10 </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E61C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E305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615</w:t>
            </w:r>
          </w:p>
        </w:tc>
      </w:tr>
      <w:tr w14:paraId="5B2A2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0BB1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5FB4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800万像素室外结构化摄像机</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E78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B19C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AI多摄全结构化双目筒机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AI多摄泛智能网络摄像机采用双镜头一体化设计，兼顾全景细节，聚合多种专为复杂场景设计的深度学习算法，实现全结构化数据精准采集，具备多场景数据融合分析能力，实现全方位态势感知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支持5种智能资源模式切换：全结构化（默认）、人脸抓拍、目标比对、道路监控、Smart事件等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全景和细节镜头均采用背照式传感器，改善成像质量，全景镜头采用1/2.7”200W CMOS，4mm， F1.0定焦镜头，细节镜头采用1/1.8“800W CMOS，0832mm， F1.6变焦镜头；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适用于出入口、混行道路、人行通道、公园、景区、街道、车站、小区外围、周界等需要进行安全管理的场景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全结构化模式：支持机动车、非机动车、人员等多目标抓拍和属性分析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人脸抓拍模式：支持对运动人脸抓拍和属性分析，支持快速抓拍和优选抓拍两种模式，支持抓拍图片去重功能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目标比对模式：支持前端目标比对功能，支持快速比对和优选比对两种模式，支持10个图片库，最多15万张图片的导入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道路监控模式：支持车辆检测和混行检测 2种模式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Smart事件模式： 支持越界侦测，区域入侵侦测，进入/离开区域侦测，徘徊侦测，人员聚集侦测，快速移动侦测，停车侦测，物品遗留/拿取侦测，场景变更侦测，音频陡升/陡降侦测，音频有无侦测，虚焦侦测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设备内置温和补光灯，减少光污染，提升夜间成像效果，提高抓拍质量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音频：标配2个内置麦克风，1个内置扬声器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 DC12 V 电源输入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传感器类型：通道1：1/1.8" Progressive Scan CMOS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通道2：1/2.7" Progressive Scan CMOS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最低照度：通道1：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彩色：0.002 Lux @（F1.2，AGC ON），0 Lux with Light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黑白：0.0002 Lux @（F1.2，AGC ON），0 Lux with IR</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通道2：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彩色：0.0005 Lux @（F1.0，AGC ON），0 Lux with Light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黑白：0.0001 Lux @（F1.0，AGC ON），0 Lux with IR</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宽动态：120 dB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焦距&amp;视场角：通道1：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8~32 mm：水平视场角：41.8°~15.0°，垂直视场角：22.9°~5.5°，对角视场角：48.7°~17.1°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通道2：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 mm：水平视场角：83.6°，垂直视场角：44.6°，对角视场角：99.1°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补光灯类型：混合补光（支持白光模式和混光模式），750 nm + 暖白光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补光距离：通道1：普通监控：80 m，人脸抓拍/识别：15 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通道2：普通监控：30 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防补光过曝：支持防补光过曝开启和关闭，开启下支持自动和手动，手动支持根据距离等级控制补光灯亮度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最大图像尺寸：通道1：3840 x 2160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通道2：1920 x 1080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视频压缩标准：H.265/H.264/MJPEG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网络：1个RJ45 10 M/100 M/1000 M自适应以太网口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音频：标配2个内置麦克风，1个内置扬声器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复位：支持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接口类型：外甩线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产品尺寸：254.1 × 116.7 × 101.7 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包装尺寸：450 × 164 × 150mm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设备重量：1700 g</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带包装重量：2650 g</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存储温湿度：-30 ℃~60 ℃，湿度小于95%（无凝结）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启动和工作温湿度：-30 ℃~60 ℃，湿度小于95%（无凝结）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恢复出厂设置：支持RESET按键，客户端或浏览器恢复</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在线升级：支持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文件系统双备份：支持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电流及功耗：DC：12 V，1.70 A，最大功耗：20.4 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PoE：802.3at，42.5 V~57 V，0.43 A~0.57 A，最大功耗：24.2 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供电方式：DC：12 V ± 20%，支持防反接保护</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PoE：802.3at，Type 2，Class 4</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电源接口类型：3芯接口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线缆长度：35 cm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防护：IP67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★支持对镜头前盖玻璃加热，去除玻璃上的冰状和水状附着物。（公安部检验报告证明）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★设备具有耀光抑制功能，耀光区域≤1%。（公安部检验报告证明）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支持数据感知功能，在IE 浏览器下，重启事件记录可包括正常重启和异常重启2种类型。正常重启可记录重启的时间、服务类型、用户名、IP/域名信息；异常重启可记录重启时间、异常类型信息。（公安部检验报告证明）</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A626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71B2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4370</w:t>
            </w:r>
          </w:p>
        </w:tc>
      </w:tr>
      <w:tr w14:paraId="5CF13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77D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B3BB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热成像筒型经济摄像机</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0465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F808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双光谱筒型摄像机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【功能特性】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热成像像素160 × 120，像元大小17um，NETD &lt; 40 mK (25°C, F1.0)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支持区域入侵探测、越界探测、进入区域探测、离开区域探测、音频异常探测、高温物体检测等功能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支持测温功能:支持普通测温，专家测温检测；可以画最多10个点，1条线，10个区域检测。测温范围：-20 °C~150 °C，测温精度：±8 °C或者读数的±8%（取最大值）</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支持吸烟检测、火点检测、烟雾检测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智能功能资源配置：测温、周界功能支持同时开启。测温、测温防火、烟雾检测支持同时开启。测温、测温防火、AI开放平台支持同时开启。周界功能不支持与测温防火、吸烟、烟雾检测两两同时开启。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支持联动白光报警、支持联动声音报警，内置白光灯和扬声器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支持AI开放平台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支持叉车去误报智能功能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支持线性、直方图、自适应等热成像AGC模式，支持DDE、3D DNR。</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可通过外接温湿度传感器，在样机OSD界面显示传感器信息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【应用场景】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周界防范：石油石化、电力系统、工商企业、政府大院、铁路沿线、机场、文博、学校、医院等；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烟火检测：物流仓储、博物馆、实验室、数据机房、配电房等；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吸烟检测：加油站、景区、博物馆、校园、医院、生产车间等；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热成像传感器类型：氧化钒非制冷型探测器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热成像像元尺寸：17μm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热成像响应波段：8~14μm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热成像探测器类型：F1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热成像分辨率：160 × 120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热成像焦距：6 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热成像视场角：25°×18.7°</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热成像最大光圈值：1.1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热成像帧频：50Hz:25fps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热成像数字变倍：X2,X4</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噪声等效温差NETD：＜ 40mk(@25°C,F#=1.0)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空间分辨率MRAD：2.74</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热成像近摄距：0.6m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伪彩：白热、黑热、融合1、彩虹、融合2、铁红1、铁红2、深褐色、色彩1、色彩2、冰火、雨、红热、绿热、深蓝等15种</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温度异常功能：全屏测温</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专家模式：10个点，10个框，1条线总计21个测温规则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测温范围：-20℃~150℃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测温精度：测温精度：±8℃或者读数的±8%（取最大值）</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人员最远报警距离（以1.8米*0.5米为准）：42m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车辆最远报警距离（以4米*1.4米为准）：126m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吸烟检测最远报警距离：6m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目标物最远测温距离（以0.1×0.1米为准）：6.6m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测温防火最远报警距离（以0.05㎡为准）：40m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可见光传感器类型：400万星光级1/2.7" Progressive Scan CMOS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可见光焦距&amp;视场角：8mm,39.4°×22.1°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可见光分辨率：2688×1520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烟雾最远报警距离（以1㎡为准）：24m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宽动态：120dB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3D降噪：支持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最低照度：0.005Lux @(F1.2,AGC ON) ,0 Lux with IR</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可见光补光功能：红外补光最远可达30米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可见光光圈值：F1.6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双光融合：支持热成像通道融合可见光图像信息，提升热成像通道图像细节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智能信息叠加：支持可见光通道图像中叠加热成像信息（仅支持测温规则，测温值）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报警联动：1个内置白光灯、1个内置扬声器，支持联动白光报警、支持联动声音报警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周界防范检测：热成像通道（默认）：越界侦测，区域入侵侦测，进入/离开区域侦测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可见光通道：越界侦测，区域入侵侦测，进入/离开区域侦测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防火应用检测：支持火点检测、烟雾检测、吸烟检测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最大预览路数：20路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主码流帧率分辨率：50Hz 25fps (2688*1520),,25fps (1920 × 1080), 25fps (1280 × 720)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60Hz: 30fps (2688*1520),30fps (1920 × 1080), 30fps (1280 × 720)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热成像：25fps (160 × 120 (输出 320 × 240)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子码流帧率分辨率：可见光：50Hz: 25fps (704 × 576), 25fps (352*288)</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可见光：60Hz: 30fps (704 × 480), 30fps (352*288)</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热成像：25fps (160 × 120 (输出 320 × 240))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视频压缩标准：H.265/H.264/MJPEG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音频压缩标准：G.711/G.722.1/G.726/MP2L2/PCM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客户端：iVMS-4200/萤石/HIK-CONNCET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浏览器：IE10+,Chrome 57+,Mozilla Firefox 52+,Mac Safari 12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报警输入：支持2路DC 0~5V报警输入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报警输出：支持2路常开型继电器输出，报警类型可设置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音频输入：1路3.5mm Mic in/Line in interface. Line input: 2-2.4V[p-p]</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音频输出：1路3.5mm Impedance: 600Ω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复位键：1个复位键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RS485控制接口：1路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网口：1路RJ45接口10/100M自适应以太网口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网络协议：IPv4/IPv6,HTTP,HTTPS,802.1x,Qos,FTP,SMTP,UPnP,SNMP,DNS,DDNS,NTP,RTSP,RTCP,RTP,TCP,UDP,IGMP,ICMP,DHCP,PPPoE,Bonjour</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SD卡存储：内置Micro SD卡插槽，支持Micro SD/SDHC/SDXC卡（最大支持512G），可支持手动录像/报警录像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模拟视频输出：支持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本地输出：支持本地输出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电源输入：DC 12 V（±25%）或PoE (802.3af, class 3)。备注：需单独购买DC 12V电源适配器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功率：DC 12 V（±20%）：0.7 A, max. 8W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PoE (802.3af, class 3)：42.5 V to 57 V, 0.22 A to 0.14 A, max. 8.5W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工作温度和湿度：-40℃~70℃，＜95% RH</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防护等级：IP67</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重量：1.55kg</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藏线盒：需单独购买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40m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24m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★★双光融合显示功能检验：可将热成像视频图像与可见光视频图像进行融合预览，并可在可见光视频图像上的相同比例位置处叠加热成像测温信息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★★文字转语音设置检验：在IE浏览器下，具有文字转语音设置选项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★★可对监控画面中由目标发生镜面反射而产生的报警进行过滤</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745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1431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3260</w:t>
            </w:r>
          </w:p>
        </w:tc>
      </w:tr>
      <w:tr w14:paraId="2AB8A9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CCE7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EB57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16路硬盘录像机</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55E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46B0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1.5U机架式5盘位嵌入式网络硬盘录像机，整机采用短机箱设计，搭载高性能ATX电源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【硬件规格】</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存储接口：5个SATA接口，可满配8TB硬盘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视频接口：2×HDMI，1×VGA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网络接口：2×RJ45 10/100/1000Mbps自适应以太网口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报警接口：16路报警输入，9路报警输出（其中第9路支持CTRL 12V）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反向供电：1路DC12V 1A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串行接口：1路RS-232接口，2路半双工RS-485接口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USB接口：2×USB 2.0，1×USB 3.0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扩展接口：1×eSATA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【产品性能】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输入带宽：160Mbps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输出带宽：160Mbps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接入能力：16路H.264、H.265格式高清码流接入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解码能力：最大支持16×1080P</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显示能力：最大支持4K+1080P异源输出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【智能应用】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目标识别应用：目标比对报警，1V1比对；支持以图搜图、按姓名检索、按属性检索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目标名单库：支持16个名单库，名单库库容5万张</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目标抓拍：2路（4MP）视频流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目标比对：8路图片流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★★支持2路视频流人脸识别，支持8路图片流人脸识别。支持10张/秒人脸比对报警，比对结果显示包括人脸比对成功、人脸比对失败和陌生人报警（以公安部检测报告为准）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★★人脸正对相机、人脸无遮挡等干扰情况，人脸识别准确率≥99%（以公安部检测报告为准）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★★支持周界报警过滤功能，对IPC上报的越界侦测报警和区域入侵报警进行去误报，可去除由树叶、灯光、车辆、阴影以及小动物引起的误报；最大支持16路（以公安部检测报告为准）</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B2A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B86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1720</w:t>
            </w:r>
          </w:p>
        </w:tc>
      </w:tr>
      <w:tr w14:paraId="559BF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1DC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4CBE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32路硬盘录像机</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04A7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AC20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2U机架式9盘位嵌入式网络硬盘录像机，整机采用短机箱设计，搭载高性能ATX电源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【硬件规格】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存储接口：9个SATA接口，可满配8TB硬盘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视频接口：2×HDMI，2×VGA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网络接口：2×RJ45 10/100/1000Mbps自适应以太网口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报警接口：16路报警输入，9路报警输出（其中第9路支持CTRL 12V）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反向供电：1路DC12V 1A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串行接口：1路RS-232接口，1路全双工RS-485接口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USB接口：2×USB 2.0，1×USB 3.0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扩展接口：1×eSATA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【产品性能】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输入带宽：256Mbps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输出带宽：160Mbps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接入能力：32路H.264、H.265格式高清码流接入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解码能力：最大支持16×1080P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显示能力：最大支持4K+1080P异源输出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【智能应用】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目标识别应用：目标比对报警，1V1比对；支持以图搜图、按姓名检索、按属性检索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目标名单库：支持16个名单库，名单库库容5万张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目标抓拍：2路（4MP）视频流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目标比对：8路图片流</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6035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E41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w:t>
            </w:r>
          </w:p>
        </w:tc>
      </w:tr>
      <w:tr w14:paraId="1C0EC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EA5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2577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8T监控硬盘</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D325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ABBE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8TB容量，3.5英寸，SATA3.0接口，7200RPM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AllFrame AI全帧技术，提升用户AI视频分析检索体验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空气盘， CMR传统磁记录</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传输速率267 MB/s，流畅存储视频有效防止丢帧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高级格式（AF）512e扇区技术，保障硬盘扇区4K对齐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满足数据严苛的7*24小时运行可靠性、安全性的需求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支持5年有限质保服务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适用海拔高度范围-305m至3050m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标称容量：8TB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外形规格：3.5-inch</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接口类型：SATA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刻录技术：CMR</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转速：7200RPM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缓存：256MB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最大读取速度：267MB/s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接口传输速率（最大值）：6.0Gb/s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平均读写功率（W）：7.3W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加载/卸载周期：600,000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MTBF：2,000,000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年负荷（TB/年）：550TB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工作状态温度(°C)：0-65℃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尺寸：147mm(L)×101.6mm(W)×26.1mm(H) </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A827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AB50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1680</w:t>
            </w:r>
          </w:p>
        </w:tc>
      </w:tr>
      <w:tr w14:paraId="15291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43EA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83D8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卡口抓拍单元</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4501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9745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5M卡口抓拍单元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海康神捕卡口抓拍单元由防护罩组件及高清智能摄像机组成，抓拍单元防护罩前面板具有防尘、防水功能，单元内置LED暖光灯，单元支持网络防雷、防浪涌，宽温宽压等；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内置摄像机采用2/3英寸高帧率全局曝光CMOS传感器，分辨率可达2448 × 2048，帧率高达25帧，具有清晰度高、照度低、帧率高、色彩还原度好等特点；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视频采用H.265、H.264或MJPEG编码，低延时，低码率，压缩比高，处理灵活；</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支持视频触发等多种触发模式并实现全结构化：支持深度学习算法，支持多目标混合场景应用，实时提取机动车、非机动车、行人、人脸等目标全结构化信息，为大数据业务提供全方位的特征数据基础；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支持机动车的车牌，车身颜色，车型，子品牌，驾驶室人员等特征检测，支持机动车的过车记录和违章行为检测抓拍；</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支持非机动车和行人的抓拍和特征检测；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支持车辆检测处理器、雷达、补光灯的接入；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支持远程数据上传，GB/T 28181-2016视频联网标准、GA/T 1400视图库标准、FTP协议，可将抓拍的图片上传给终端服务器、FTP服务器或者后端平台；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可支持TF插卡本地存储，可支持至256G，抓拍图片可断网续传；</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传感器类型：2/3” Global shutter CMOS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图像控制：曝光速度、AGC控制、白平衡方式控制等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视频压缩标准：H.264, H.265, MJPEG</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视频分辨率：2448(H) × 2048(V)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压缩输出码率：32 Kbps~16 Mbps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帧率：25fps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多码流：支持3码流：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主码流：2448*2048（默认）；</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子码流：1080*720P（默认）；</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三码流：704*576（默认）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抓拍图片格式：JPEG</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抓拍图片分辨率：2448(H) × 2048(V)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存储功能：TF, USB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镜头规格：25mm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光圈类型：手动光圈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通讯接口：3个RS-485接口，1个RS-232接口；2个RJ45 10M/100M/1000M自适应以太网口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触发输入：1个触发/报警输入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触发输出：7路F+/F-输出接口，可作为补光灯同步输出控制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同步输入：SYNC信号灯电源同步输入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违章检测：超速、压车道线、违章变道、未系安全带、未戴头盔、非机动车载人、逆行、低速、机动车闯禁令、打电话、占用机动车道、摩托车闯禁令、加塞等违法行为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机动车：车牌识别：民用车牌，2012式车牌，新能源车牌；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车身颜色识别：白、灰、黄、红、紫、绿、蓝、棕、黑；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车型识别：大客车、中型客车、大货车、小货车、面包车、皮卡、轿车、SUV/MPV、二轮车、三轮车；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车辆品牌，子品牌识别</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非机动车：车型识别、特征识别</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行人：人体识别、人脸识别、特征识别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整体组成：防尘、防水面板，内置LED补光灯，摄像机，单元防护罩，电源适配器（AC220转DC12）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尺寸：180 mm (W) × 155 mm (H) × 636 mm (D)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工作温度：-30℃~70℃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工作湿度：5%~95%@40℃，无凝结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电源：100 VAC～240 VAC；频率：48 Hz～52 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功耗：Max. 20 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重量：5.2 ± 0.5 kg </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CAC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4A1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15800</w:t>
            </w:r>
          </w:p>
        </w:tc>
      </w:tr>
      <w:tr w14:paraId="6BA569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A3C2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DD47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测速雷达产品</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0F38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00F1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【经济款】窄波测速雷达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单车道测速雷达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测速距离：单车道18～28m(可调整)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测速范围：10km/h～250km/h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WIFI功能：可通过雷达WIFI进行雷达各项参数设置，调试简单快捷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工作电压：9-12V DC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工作功耗：≤2W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重量：2kg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STJ1-12定角式雷达测速仪采用现代微波技术和高速数字信号处理技术，精确定位、精准测速，具有高精度、免调试、高稳定性等特点，可应用于龙门架、隧道口、立体交叉桥梁下方等多种交通环境，更加适合要求严苛的道路测速抓拍取证，为交通管理提供准确、可靠、实时的检测信息，保障交通管理系统的正常运行。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实时测量目标车辆的速度，具备测距功能，可对多目标进行距离动态管理；提供触发信号，并结合微波高精度定位，卡口车辆触发位置精准一致，实现不同速度、不同大小、不同类型的车辆在“定点位置”触发抓拍，STJ1-12雷达可以用WiFi实现对雷达的参数修改。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采用24GHz MMIC技术，性能更优越；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高增益、低副瓣微带天线设计技术，有效避免邻道目标干扰；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可对多目标进行精确测距测速，精确定位；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进行高精度定点抓拍，拍照位置误差在1米之内，抓拍率达到99%以上；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先进的信号处理技术，性能稳定，虚警率低；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安装方便，免调试，维护简单；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环境适应性强，检测性能不受光照、灰尘、雨雪等外界环境干扰；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内置WiFi功能，可用WiFi实现对雷达参数的修改。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天线类型：平板型微带阵列天线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工作频率：24.15GHz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频率偏离误差：≤±45MHZ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波束宽度： 水平&lt;6°，垂直&lt;6°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发射功率：约5mW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测速距离：单车道18～28m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测速范围：10km/h～250km/h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测速准确度：-4 km/h~0 km/h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触发一致性：≤±1m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反应时间：26ms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工作温度范围： -40℃～ +80℃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工作湿度范围： 98%@25℃，无凝结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电源：电压 DC 12V（红色正、黑色地），功耗 &lt; 2.5W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额定电流：&lt; 0.3A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数据刷新速度：37次/秒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IP65</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A4CA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51A9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10800</w:t>
            </w:r>
          </w:p>
        </w:tc>
      </w:tr>
      <w:tr w14:paraId="2A39C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05D3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E237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LED常亮灯</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3CA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D20E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16颗常亮灯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光源类型：16颗高性能暖光LED</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发光角度32°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补光距离16米～25米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响应时间小于20us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具有光敏，支持环境亮度检测，低照度下自动开启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IP66</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工作温度：-40℃～70℃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工作湿度：湿度5%～95%@40℃，无凝结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电源：220VAC±10%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防护等级：IP65 </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4B97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94A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2800</w:t>
            </w:r>
          </w:p>
        </w:tc>
      </w:tr>
      <w:tr w14:paraId="3E55F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9E1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E657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终端管理设备</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3D96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757E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【常规】【12路IPC接入】【2T】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嵌入式操作系统，内置1块2T硬盘；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双网卡，具备8个100M以太网接口及2个1000M以太网接口、2个1000M SFP光纤接口；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坚固紧凑无风扇设计，体积小巧，适合在路边机柜及抱杆机柜使用，单面接口设计，更便于施工操作；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最大支持2TB硬盘存储，图片与录像可设置配额；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支持对通行车辆的信息（记录和图片、录像）存储；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可配置多种字符叠加、图片合成模式；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支持区间测速功能；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可配置增加GPS校时模块，标配不支持，如果需要走ZTA下单；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尺寸(mm)：245mm（宽）×175mm（深）×60mm（高）</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6992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C1F8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12800</w:t>
            </w:r>
          </w:p>
        </w:tc>
      </w:tr>
      <w:tr w14:paraId="28FF7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269F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7022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测速提示牌</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A41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2A85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【园区测速提示牌，不具备测速功能，需搭配雷视园区测速一体机使用】【车速显示】【车牌显示】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适用于各类国省道、乡村道路、园区、景区、校园等各类车辆测速警示场景，当车辆超速时，显示红色车速；车辆未超速时，显示绿色车速；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车辆检测器、限速帖、显示屏一体化设计，方便安装、美观大方；限速帖尺寸符合国标；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支持显示车辆实时车速；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规格参数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设备外形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外壳材质：铝板折边、表面喷塑贴反光膜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外部接口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网络接口：1个RJ45以太网口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预警屏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单管电流：≤20mA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LED波长：红:628nm±1nm；黄:590nm±1nm；绿:505nm±1nm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LED可视角度：水平：110°±10°，垂直：60°±10°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LED寿命：≥100000小时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物理点间距：8mm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显示屏屏体分辨率：车牌屏分辨率120x40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显示屏LED亮度：红&amp;gt;5000 cd/㎡；黄&amp;gt;5000 cd/㎡ ；绿&amp;gt;5000 cd/㎡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一般规范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尺寸：整机尺寸1800mmx1120mmx120mm，车牌屏尺寸960mmx320mm，车速屏尺寸490mmx374mm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工作温度：-30°C~70°C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工作湿度：5%~95%@40°C，无凝结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电源：AC220V±10%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功耗：25W MAX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重量：38kg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安装方式：立杆安装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防护等级：IP53</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328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5549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16800</w:t>
            </w:r>
          </w:p>
        </w:tc>
      </w:tr>
      <w:tr w14:paraId="20550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DE93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2475" w:type="dxa"/>
            <w:tcBorders>
              <w:top w:val="single" w:color="000000" w:sz="4" w:space="0"/>
              <w:left w:val="single" w:color="000000" w:sz="4" w:space="0"/>
              <w:bottom w:val="single" w:color="000000" w:sz="4" w:space="0"/>
              <w:right w:val="single" w:color="000000" w:sz="4" w:space="0"/>
            </w:tcBorders>
            <w:shd w:val="clear" w:color="C0E6F5" w:fill="FFFFFF"/>
            <w:vAlign w:val="center"/>
          </w:tcPr>
          <w:p w14:paraId="5D669A1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24V6A开关电源</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38C4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C0E6F5" w:fill="FFFFFF"/>
            <w:vAlign w:val="center"/>
          </w:tcPr>
          <w:p w14:paraId="6C9D003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1、输入电压：AC220V±20％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2、输出电压：AC24V3A</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12B4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798D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w:t>
            </w:r>
          </w:p>
        </w:tc>
      </w:tr>
      <w:tr w14:paraId="5CA80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9624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2475" w:type="dxa"/>
            <w:tcBorders>
              <w:top w:val="single" w:color="000000" w:sz="4" w:space="0"/>
              <w:left w:val="single" w:color="000000" w:sz="4" w:space="0"/>
              <w:bottom w:val="single" w:color="000000" w:sz="4" w:space="0"/>
              <w:right w:val="single" w:color="000000" w:sz="4" w:space="0"/>
            </w:tcBorders>
            <w:shd w:val="clear" w:color="C0E6F5" w:fill="FFFFFF"/>
            <w:vAlign w:val="center"/>
          </w:tcPr>
          <w:p w14:paraId="2089A53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12V5A开关电源</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F329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C0E6F5" w:fill="FFFFFF"/>
            <w:vAlign w:val="center"/>
          </w:tcPr>
          <w:p w14:paraId="00F164B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1、输入电压：AC220V±20％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2、输出电压：AC12V5A</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9B2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287E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r>
      <w:tr w14:paraId="5B1E8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4EEC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BC9D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5V40A开关电源</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ECEB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C0E6F5" w:fill="FFFFFF"/>
            <w:vAlign w:val="center"/>
          </w:tcPr>
          <w:p w14:paraId="703FA66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1、输入电压：AC220V±20％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2、输出电压：AC5V40A</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3DA8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F64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r>
      <w:tr w14:paraId="59D21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B82E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2475" w:type="dxa"/>
            <w:tcBorders>
              <w:top w:val="single" w:color="000000" w:sz="4" w:space="0"/>
              <w:left w:val="single" w:color="000000" w:sz="4" w:space="0"/>
              <w:bottom w:val="single" w:color="000000" w:sz="4" w:space="0"/>
              <w:right w:val="single" w:color="000000" w:sz="4" w:space="0"/>
            </w:tcBorders>
            <w:shd w:val="clear" w:color="C0E6F5" w:fill="FFFFFF"/>
            <w:vAlign w:val="center"/>
          </w:tcPr>
          <w:p w14:paraId="6A1825B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道闸遥控器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F39C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C0E6F5" w:fill="FFFFFF"/>
            <w:vAlign w:val="center"/>
          </w:tcPr>
          <w:p w14:paraId="7C4F58E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工作频率‌：支持 ‌315MHz‌、‌433MHz‌ 或 ‌868MHz‌（根据型号可选），其中 433MHz 控制距离约 ‌50米‌，315MHz 约 ‌30米‌，868MHz 可达 ‌100米‌‌12。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‌编码方式‌：适配 ‌PT2262/PT2272‌、‌HCS301‌、‌EV1527‌ 等加密芯片，提升抗干扰能力‌12。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‌控制距离‌：常规型号覆盖 ‌30-100米‌（视环境障碍物和频率影响）‌12。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‌工作电压‌：‌DC 12V‌。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‌发射功率‌：‌10-15mW‌，频率偏差 ‌±75kHz‌，调制方式为 ‌ASK‌‌26。</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‌触点容量‌：支持 ‌≤10A/250VAC‌ 或 ‌10A/30VDC‌，适配继电器输出。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‌接口类型‌：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电源输入、继电器控制端（开门/关门/停止）。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‌输出模式‌：支持 ‌非锁‌、‌互锁‌、‌自锁‌ 等模式，可通过跳线设置。</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5B6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2956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r>
      <w:tr w14:paraId="4FA37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CD40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88F4E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双目活体人脸机</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9B4D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5C069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1.采用10.1寸TFT液晶触摸屏人脸识别终端，支持触屏功能，可在人机界面进行操作，屏幕分辨率1280*800，支持屏幕亮度、声音设置。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2.设备支持识别终端与外接网络断开状态下进行人脸实时识别，支持戴口罩识别，支持不带口罩预警。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3.识别终端图像参数配置，支持曝光、白平衡、昼夜模式、图像增强可调。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4.设备支持配置2个I/O输出，1个100Mbps网口、支持串接，1个韦根输出、1个韦根输入，1个RS485、1个RS232；USB接口。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5.内置深度学习专用芯片，支持本地离线识别，人脸识别率不低于99%，识别时间不高于0.2S，人脸（1:N）库容不低于100000，本机库容不低于100000。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6.支持人脸、身份证、IC卡、密码、二维码等多种识别认证方式，支持分时段开门。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7.设备支持双目高清宽动态摄像头，支持一路可见光摄像头，一路红外摄像头，可见光摄像头分辨率不低于1920*1080，适应多种复杂光线场景下图像高质量采集。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8.支持超远识别距离控制，有效防止距离较远的人员误识别。</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9.支持活体验证检测，人脸验证准确率99.5%，1：N比对时间0.2S/人。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10.支持员工管理功能，支持员工库的添加、更新、删除以及员工信息查看，支持从管理服务器联网下发及本地配置。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11.支持访客管理功能，支持访客的添加、更新、删除以及访客信息查看。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12.支持陌生人管理功能，支持陌生人检测、陌生人信息上报。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13.支持记录本地保存和实时上传。</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14.工作环境：﹣30℃~﹢70℃，5%~95%（无凝结）。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15.防护等级不低于IP65。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16.支持用户自主定制面板机交互程序，显示效果，图形等内容。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17.支持白光动态补光灯。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18.支持128个时间段，128假日计划，128个假日时间段、常开时间段、常闭时间段、远程开门时间段、首用户开门时间段等设置。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19.支持胁迫报警、防拆报警、闯入报警、门超时报警、非法卡超次报警。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20.具有防反潜、多重认证、远程验证、平台视频联动功能；支持首用户开门。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21.设备支持断网模式下单机运行，联网模式下与后台通讯，支持看门狗守护机制，保障设备运行稳定性。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22.支持提供第三方接入SDK，方便第三方平台开发接入。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23.可对接学校人脸识别业务平台、访客系统、人脸库系统、通行记录系统、支持身份证人证核验。</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E564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062D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5920</w:t>
            </w:r>
          </w:p>
        </w:tc>
      </w:tr>
      <w:tr w14:paraId="52469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8FB6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73D56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身份证读卡器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D37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D8064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代居民身份证阅读器，采用USB接口供电，RS232串口通讯，具有阅读身份证信息、验证身份证真伪等功能，采用TYPEB非接触IC卡阅读技术，内嵌身份证安全控制模块，能够将身份证芯片内的个人信息资料解读和对应输出。</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129EC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70EE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w:t>
            </w:r>
          </w:p>
        </w:tc>
      </w:tr>
      <w:tr w14:paraId="2AA71C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949B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D6384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通道闸机电机电磁离合器总成</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E9F4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74A7E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57直流无刷电机+电磁离合器+底板</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3CCF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8F41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w:t>
            </w:r>
          </w:p>
        </w:tc>
      </w:tr>
      <w:tr w14:paraId="58DD90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0C3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0ADAF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通道闸机电机驱动板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D32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A19C9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DC24V,UVW三相驱动，外接霍尔编码器、离合器和电机，通过接收通道控制板的指令信息，来控制电机转动和离合器吸合。</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0B49F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9710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w:t>
            </w:r>
          </w:p>
        </w:tc>
      </w:tr>
      <w:tr w14:paraId="5E42E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CDA6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F6AAD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通道闸机主控板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83A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6C9C2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闸机红外传感器检测、授权通行检测、报警输出、电机控制中心。</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38F83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D172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w:t>
            </w:r>
          </w:p>
        </w:tc>
      </w:tr>
      <w:tr w14:paraId="2BB00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FA8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913AA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通道闸机红外对射控制板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3530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23327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红外大转接板+小转接板，透传红外信号给通道主控制板</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01D14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C343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r>
      <w:tr w14:paraId="38DCA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8C4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5C477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通道闸机红外对射头</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8779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77579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红外发射与接收</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82E2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E2E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r>
      <w:tr w14:paraId="401D53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831D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4C5F9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通道闸机不锈钢主轴</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C96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1108D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不锈钢材质，DN48mm，固定挡板转动。</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2D8F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595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820</w:t>
            </w:r>
          </w:p>
        </w:tc>
      </w:tr>
      <w:tr w14:paraId="2344C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CC11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6F19A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通道闸机不锈钢挡板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7F11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7FC85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不锈钢材质，通道宽度1100mm。</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DA246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0C43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w:t>
            </w:r>
          </w:p>
        </w:tc>
      </w:tr>
      <w:tr w14:paraId="0E21C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394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E4342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工业数字相机(PDC版,V0版)</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EAA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FFA77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黑色外壳,P5版,自动对焦镜头,DC12V,PDC版</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8708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0F148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7200</w:t>
            </w:r>
          </w:p>
        </w:tc>
      </w:tr>
      <w:tr w14:paraId="5F73DE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7599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56DED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卡口专用高速摄像一体机相机组（PDC版，V0版）</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62D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EBD62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卡口专用高速摄像一体机相机组(PDC版,V0版) 用于项目现场卡口专用高速摄像一体机(SF-ZJ-2503/SF-FJ-2503/2006/2007)相机申请替换,P5 （31g 32g 41g的相机组料号）</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B08E3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9C7B8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7200</w:t>
            </w:r>
          </w:p>
        </w:tc>
      </w:tr>
      <w:tr w14:paraId="4287E0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0E4B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252E7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同进同出车检板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CCF0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51635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162*93mm,带3D数字车检接口,户外板</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56F8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7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30DF4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1950</w:t>
            </w:r>
          </w:p>
        </w:tc>
      </w:tr>
      <w:tr w14:paraId="27C61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E109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A0C4E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语音功放板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CDF4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52126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105.80*52.20MM，输入12V，户外板，印制线路板；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3C专用物料,升级需要做3C变更申请</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18F6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7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251E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14:paraId="56A95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D03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49BDB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车辆检测器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F991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40FCB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KT-cd-f,PD132,两路输出,高灵敏度4级可调,输入电压220V,符合安规检测</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F9E43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2F46E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380</w:t>
            </w:r>
          </w:p>
        </w:tc>
      </w:tr>
      <w:tr w14:paraId="56D19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81EE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290CC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地感线圈</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1BA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5945C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绝缘体FEP镀锡铜线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额定温度55℃~200℃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性能耐磨、防腐蚀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长度50m</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F0DA4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7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AA18F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14:paraId="6A814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F1C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45363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车检器接口板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7E3F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4B1AB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CJ-ZJB-V17B,148*.239.5mm,非标带3D车检口,户外版</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543BE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7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6C237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460</w:t>
            </w:r>
          </w:p>
        </w:tc>
      </w:tr>
      <w:tr w14:paraId="35FF0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8693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D55B1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车检器接口板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C3A4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62E40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CJ-ZJB-V17B,148.2*39.5mm,标配带3D车检口,户外板</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CBFF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7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1380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460</w:t>
            </w:r>
          </w:p>
        </w:tc>
      </w:tr>
      <w:tr w14:paraId="481A8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235A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42DA5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车检器接口板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1C37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3FC57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CJ-ZJB-V34，,153.7*62.7mm,双路热备(不带485),带3D车检接口,户外板</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56A69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7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D1B89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580</w:t>
            </w:r>
          </w:p>
        </w:tc>
      </w:tr>
      <w:tr w14:paraId="5CFD6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7B07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E08AD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闪光灯</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A1F3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43844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20W,晶元,120度,共用端L=340mm,分线端2P=200mm,3P=35mm</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C9C9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3A9B0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875</w:t>
            </w:r>
          </w:p>
        </w:tc>
      </w:tr>
      <w:tr w14:paraId="3E890C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D3E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5D6DE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CV1835核心板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D7B4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2F92D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70*40mm,用于收费相机（B版）</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B07F8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7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23E5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1450</w:t>
            </w:r>
          </w:p>
        </w:tc>
      </w:tr>
      <w:tr w14:paraId="4F103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017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82</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4FC8B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3D车辆检测器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386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607CE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79G雷达车检器，直杆,DC12V，107.9mm*73.6mm*17.2mm，自带适配器</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C484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A47D2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w:t>
            </w:r>
          </w:p>
        </w:tc>
      </w:tr>
      <w:tr w14:paraId="7BC94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8384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88717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旗舰版工业相机转接板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2CB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25C8D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160*76mm,用于旗舰版,户外板</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BA685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7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36098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480</w:t>
            </w:r>
          </w:p>
        </w:tc>
      </w:tr>
      <w:tr w14:paraId="24A95D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3BD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9B17A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道闸配件(主板）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F11B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CA5D5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J版,直流无刷道闸控制器，秒数参数可调</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E347F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7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A2E27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1440</w:t>
            </w:r>
          </w:p>
        </w:tc>
      </w:tr>
      <w:tr w14:paraId="12006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606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D1539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工业相机转接板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C600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42205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工业相机转接板,100*60mm,户外板</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E3FA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c>
          <w:tcPr>
            <w:tcW w:w="7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AA8BB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480</w:t>
            </w:r>
          </w:p>
        </w:tc>
      </w:tr>
      <w:tr w14:paraId="78F64A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504E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86</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68532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摄像头闪光灯板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695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5815C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140*80MM,高端旗舰系列，PWM控制,户外板</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009D0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C4FB4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480</w:t>
            </w:r>
          </w:p>
        </w:tc>
      </w:tr>
      <w:tr w14:paraId="208EA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C2D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87</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675FC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圆形补光灯板</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EB8F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9350B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摄像头闪光灯板+温湿度接口 SXT-LED-V30A</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D6185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C3003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w:t>
            </w:r>
          </w:p>
        </w:tc>
      </w:tr>
      <w:tr w14:paraId="51595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2E4B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D1E96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显示屏主板盒子</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DDEB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E3C87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050024主板盒子 CM主板+声卡+电源线组合包，用于050024盒子配套安装(电源模块化产品)，备注需要配套转接板</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C29A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E52FA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3600</w:t>
            </w:r>
          </w:p>
        </w:tc>
      </w:tr>
      <w:tr w14:paraId="617E53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CC4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EF521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开关电源（道闸主板用）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4077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F016D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200W，24V，带3C认证</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FD52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265E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455</w:t>
            </w:r>
          </w:p>
        </w:tc>
      </w:tr>
      <w:tr w14:paraId="1231DA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4DBA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7A2F8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道闸园杆</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1FDF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94FF7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J版,4.0M,铝合金圆杆,铝外径50mm,珍珠棉外径80mm含反光膜</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41301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7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FA11C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1300</w:t>
            </w:r>
          </w:p>
        </w:tc>
      </w:tr>
      <w:tr w14:paraId="06C45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64FC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91</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02D6E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开关电源</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9907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国产</w:t>
            </w:r>
          </w:p>
        </w:tc>
        <w:tc>
          <w:tcPr>
            <w:tcW w:w="3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F99B5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开关电源 12V6A,72W,输入电压100-240VAC,99×97×30mm,3C认证,UL认证，CB认证</w:t>
            </w:r>
          </w:p>
        </w:tc>
        <w:tc>
          <w:tcPr>
            <w:tcW w:w="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9F4A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AF661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w:t>
            </w:r>
          </w:p>
        </w:tc>
      </w:tr>
    </w:tbl>
    <w:p w14:paraId="5CDD4429">
      <w:pPr>
        <w:pStyle w:val="2"/>
        <w:spacing w:before="0" w:after="0" w:line="240" w:lineRule="auto"/>
        <w:rPr>
          <w:rFonts w:hint="default"/>
          <w:b w:val="0"/>
          <w:bCs w:val="0"/>
          <w:lang w:val="en-US" w:eastAsia="zh-CN"/>
        </w:rPr>
      </w:pPr>
    </w:p>
    <w:p w14:paraId="15BDC49F">
      <w:pPr>
        <w:pStyle w:val="2"/>
        <w:pageBreakBefore w:val="0"/>
        <w:widowControl w:val="0"/>
        <w:kinsoku/>
        <w:wordWrap/>
        <w:overflowPunct/>
        <w:topLinePunct w:val="0"/>
        <w:autoSpaceDE/>
        <w:autoSpaceDN/>
        <w:bidi w:val="0"/>
        <w:adjustRightInd/>
        <w:snapToGrid/>
        <w:spacing w:before="0" w:after="0" w:line="360" w:lineRule="auto"/>
        <w:textAlignment w:val="auto"/>
        <w:rPr>
          <w:rFonts w:hint="eastAsia" w:ascii="宋体" w:hAnsi="宋体" w:cs="宋体"/>
          <w:b/>
          <w:bCs/>
          <w:spacing w:val="2"/>
          <w:sz w:val="24"/>
          <w:szCs w:val="24"/>
          <w:lang w:val="zh-CN"/>
        </w:rPr>
      </w:pPr>
    </w:p>
    <w:p w14:paraId="596FCEFE">
      <w:pPr>
        <w:pStyle w:val="2"/>
        <w:rPr>
          <w:rFonts w:hint="eastAsia" w:ascii="宋体" w:hAnsi="宋体" w:cs="宋体"/>
          <w:b/>
          <w:bCs/>
          <w:spacing w:val="2"/>
          <w:sz w:val="24"/>
          <w:szCs w:val="24"/>
          <w:lang w:val="zh-CN"/>
        </w:rPr>
      </w:pPr>
    </w:p>
    <w:p w14:paraId="71FAE15D">
      <w:pPr>
        <w:rPr>
          <w:rFonts w:hint="eastAsia" w:ascii="宋体" w:hAnsi="宋体" w:cs="宋体"/>
          <w:b/>
          <w:bCs/>
          <w:spacing w:val="2"/>
          <w:sz w:val="24"/>
          <w:szCs w:val="24"/>
          <w:lang w:val="zh-CN"/>
        </w:rPr>
      </w:pPr>
    </w:p>
    <w:p w14:paraId="6C6DFF38">
      <w:pPr>
        <w:rPr>
          <w:rFonts w:hint="eastAsia" w:ascii="宋体" w:hAnsi="宋体" w:cs="宋体"/>
          <w:b/>
          <w:bCs/>
          <w:spacing w:val="2"/>
          <w:sz w:val="24"/>
          <w:szCs w:val="24"/>
          <w:lang w:val="zh-CN"/>
        </w:rPr>
      </w:pPr>
    </w:p>
    <w:p w14:paraId="532C2837">
      <w:pPr>
        <w:rPr>
          <w:rFonts w:hint="eastAsia" w:ascii="宋体" w:hAnsi="宋体" w:cs="宋体"/>
          <w:b/>
          <w:bCs/>
          <w:spacing w:val="2"/>
          <w:sz w:val="24"/>
          <w:szCs w:val="24"/>
          <w:lang w:val="zh-CN"/>
        </w:rPr>
      </w:pPr>
    </w:p>
    <w:p w14:paraId="4E9D1188">
      <w:pPr>
        <w:rPr>
          <w:rFonts w:hint="eastAsia" w:ascii="宋体" w:hAnsi="宋体" w:cs="宋体"/>
          <w:b/>
          <w:bCs/>
          <w:spacing w:val="2"/>
          <w:sz w:val="24"/>
          <w:szCs w:val="24"/>
          <w:lang w:val="zh-CN"/>
        </w:rPr>
      </w:pPr>
    </w:p>
    <w:p w14:paraId="49F356DC">
      <w:pPr>
        <w:pStyle w:val="2"/>
        <w:pageBreakBefore w:val="0"/>
        <w:widowControl w:val="0"/>
        <w:kinsoku/>
        <w:wordWrap/>
        <w:overflowPunct/>
        <w:topLinePunct w:val="0"/>
        <w:autoSpaceDE/>
        <w:autoSpaceDN/>
        <w:bidi w:val="0"/>
        <w:adjustRightInd/>
        <w:snapToGrid/>
        <w:spacing w:before="0" w:after="0" w:line="360" w:lineRule="auto"/>
        <w:textAlignment w:val="auto"/>
        <w:rPr>
          <w:rFonts w:hint="default" w:ascii="宋体" w:hAnsi="宋体" w:eastAsia="宋体" w:cs="Times New Roman"/>
          <w:color w:val="auto"/>
          <w:sz w:val="24"/>
          <w:szCs w:val="24"/>
          <w:lang w:val="en-US" w:eastAsia="zh-CN"/>
        </w:rPr>
      </w:pPr>
      <w:r>
        <w:rPr>
          <w:rFonts w:hint="eastAsia" w:ascii="宋体" w:hAnsi="宋体" w:cs="宋体"/>
          <w:b/>
          <w:bCs/>
          <w:spacing w:val="2"/>
          <w:sz w:val="24"/>
          <w:szCs w:val="24"/>
          <w:lang w:val="zh-CN"/>
        </w:rPr>
        <w:t>★</w:t>
      </w:r>
      <w:r>
        <w:rPr>
          <w:rFonts w:hint="eastAsia" w:ascii="宋体" w:hAnsi="宋体" w:cs="宋体"/>
          <w:b/>
          <w:bCs/>
          <w:spacing w:val="2"/>
          <w:sz w:val="24"/>
          <w:szCs w:val="24"/>
          <w:lang w:val="en-US" w:eastAsia="zh-CN"/>
        </w:rPr>
        <w:t xml:space="preserve"> 表2：</w:t>
      </w:r>
      <w:r>
        <w:rPr>
          <w:rFonts w:hint="eastAsia" w:ascii="宋体" w:hAnsi="宋体" w:eastAsia="宋体" w:cs="Times New Roman"/>
          <w:color w:val="auto"/>
          <w:sz w:val="24"/>
          <w:szCs w:val="24"/>
          <w:lang w:val="en-US" w:eastAsia="zh-CN"/>
        </w:rPr>
        <w:t>维保配套设备</w:t>
      </w:r>
    </w:p>
    <w:tbl>
      <w:tblPr>
        <w:tblStyle w:val="1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9"/>
        <w:gridCol w:w="1438"/>
        <w:gridCol w:w="5307"/>
        <w:gridCol w:w="523"/>
        <w:gridCol w:w="525"/>
      </w:tblGrid>
      <w:tr w14:paraId="5CF769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FA6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CC2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设备名称</w:t>
            </w:r>
          </w:p>
        </w:tc>
        <w:tc>
          <w:tcPr>
            <w:tcW w:w="31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AA3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技术规格</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8B2F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D54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r>
      <w:tr w14:paraId="64CD8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4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EB5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3E8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400W全彩筒形摄像机</w:t>
            </w:r>
          </w:p>
        </w:tc>
        <w:tc>
          <w:tcPr>
            <w:tcW w:w="31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74267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海康威视臻全彩筒型网络摄像机，采用全彩级高灵敏度传感器，F1.0超大光圈镜头，最高分辨率可达400万像素，并在此分辨率下可输出25 fps实时图像，图像更流畅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支持区域入侵侦测，越界侦测，进入区域侦测，离开区域侦测；支持萤石云平台接入；支持背光补偿，强光抑制，3D数字降噪，120 dB宽动态适应不同环境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1个内置麦克风，高清拾音；支持柔光灯补光，照射距离最远可达30 m；符合IP67防尘防水设计，可靠性高；传感器类型：1/1.8" Progressive Scan CMOS；最低照度：彩色：0.0005 Lux ；宽动态：120 dB ；景深范围：2.8 mm：2.5 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 mm：2.8 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6 mm：6.8 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8 mm：8.8 m~135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焦距&amp;视场角：2.8 mm，水平视场角：105°，垂直视场角：55°，对角视场角：125°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 mm，水平视场角：89°，垂直视场角：48°，对角视场角：104°</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6 mm，水平视场角：55°，垂直视场角：29°，对角视场角：64°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8 mm，水平视场角：41°，垂直视场角：23°，对角视场角：47°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补光距离：最远可达30 m；防补光过曝：支持；补光灯类型：柔光灯 ；最大图像尺寸：2560 × 1440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视频压缩标准：主码流：H.265/H.264，支持超级智能编码；子码流：H.265/H.264/MJPEG</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第三码流：H.265/H.264 ；音频：1个内置麦克风；网络：1个RJ45 10 M/100 M自适应以太网口 ；恢复出厂设置：支持客户端或浏览器恢复；启动和工作温湿度：-30 ℃~60 ℃，湿度小于95%（无凝结）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供电方式：DC：12 V ± 25%，支持防反接保护；电流及功耗：DC：12 V，0.54 A，最大功耗：6.5 W；电源接口类型：Ø5.5 mm圆口；产品尺寸：2.8 mm焦距段型号： 182.8 × 92.7 × 87.6 mm ；其他焦距段型号： 189.4 × 92.7 × 87.6 mm；包装尺寸：235 × 120 × 125 mm；设备重量：620 g；带包装重量：826 g ；防护：IP67 </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2D17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B9A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0B30F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5"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C20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F72E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400W半球摄像机</w:t>
            </w:r>
          </w:p>
        </w:tc>
        <w:tc>
          <w:tcPr>
            <w:tcW w:w="31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45FC7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400万半球型网络摄像机；最高分辨率可达2560 × 1440 @25 fps，在该分辨率下可输出实时图像；支持背光补偿，强光抑制，3D数字降噪，120 dB宽动态，适应不同环境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支持萤石平台接入；采用高效阵列红外灯，使用寿命长，红外照射距离最远可达30 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支持最大512 GB MicroSD/MicroSDHC/MicroSDXC卡本地存储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支持1路报警输入，1路报警输出（报警输出最大支持DC12 V，30 mA），1路音频输入，1路音频输出；符合IP67，IK10，可靠性高；传感器类型：1/2.7" Progressive Scan CMOS；最低照度：彩色：0.005 Lux ；调节角度：水平：0°~355°，垂直：0°~75°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焦距&amp;视场角：2.8 mm，水平视场角：91.1°，垂直视场角：47.9°，对角视场角：110.8°</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 mm，水平视场角：78.3°，垂直视场角：43°，对角视场角：92.3°</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 mm，水平视场角：50.8°，垂直视场角：26.3°，对角视场角：60.5°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 mm，水平视场角：43.7°，垂直视场角：23.8°，对角视场角：51.2°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景深范围：2.8 mm: 1.2 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 mm: 1.3 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 mm: 3.4 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8 mm: 5.1 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补光灯类型：红外灯；补光距离：最远可达30 m；红外波长范围：850 nm ；最大分辨率：2560 × 1440；视频压缩标准：主码流：H.265/H.264，支持超级智能编码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子码流：H.265/H.264 ；网络：1个RJ45 10 M/100 M自适应以太网口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SD卡扩展：内置MicroSD/MicroSDHC/MicroSDXC 插槽，最大支持512 GB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音频：1路输入（Line in），最大输入幅值：3.3 Vpp，输入阻抗：4.7 kΩ，接口类型：非平衡；1路输出（Line out），最大输出幅值：3.3 Vpp，输出阻抗：100 Ω，接口类型：非平衡；报警：1路输入，1路输出（报警输出最大支持DC12 V，30 mA）；复位：支持；电源输出：DC12 V，100 mA电源输出，建议用于拾音器供电 ；恢复出厂设置：支持RESET按键，客户端或浏览器恢复；产品尺寸：Ø110.8 × 84.7 mm；包装尺寸：134 × 134 × 108 mm；设备重量：380 g；带包装重量：460 g；启动和工作温湿度：-30 ℃~60 °C，湿度小于95%（无凝结）；电流及功耗：DC：12 V，0.5 A，最大功耗：6 W；PoE：IEEE 802.3af，CLASS 3，最大功耗：7.5 W  ；供电方式：DC：12 V ± 25%，支持防反接保护；PoE：IEEE 802.3af，CLASS 3；电源接口类型：Ø5.5 mm圆口 ；防护：IP67，IK10 </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329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ED1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523C5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8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F451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CA5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网络硬盘录像机1</w:t>
            </w:r>
          </w:p>
        </w:tc>
        <w:tc>
          <w:tcPr>
            <w:tcW w:w="31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36BF4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1.5U机架式5盘位嵌入式网络硬盘录像机，整机采用短机箱设计，搭载高性能ATX电源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【硬件规格】</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存储接口：5个SATA接口，可满配8TB硬盘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视频接口：2×HDMI，1×VGA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网络接口：2×RJ45 10/100/1000Mbps自适应以太网口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报警接口：16路报警输入，9路报警输出（其中第9路支持CTRL 12V）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反向供电：1路DC12V 1A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串行接口：1路RS-232接口，2路半双工RS-485接口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USB接口：2×USB 2.0，1×USB 3.0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扩展接口：1×eSATA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【产品性能】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输入带宽：160Mbps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输出带宽：160Mbps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接入能力：16路H.264、H.265格式高清码流接入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解码能力：最大支持16×1080P</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显示能力：最大支持4K+1080P异源输出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【智能应用】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目标识别应用：目标比对报警，1V1比对；支持以图搜图、按姓名检索、按属性检索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目标名单库：支持16个名单库，名单库库容5万张</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目标抓拍：2路（4MP）视频流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目标比对：8路图片流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★★支持2路视频流人脸识别，支持8路图片流人脸识别。支持10张/秒人脸比对报警，比对结果显示包括人脸比对成功、人脸比对失败和陌生人报警（以公安部检测报告为准）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★★人脸正对相机、人脸无遮挡等干扰情况，人脸识别准确率≥99%（以公安部检测报告为准）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★★支持周界报警过滤功能，对IPC上报的越界侦测报警和区域入侵报警进行去误报，可去除由树叶、灯光、车辆、阴影以及小动物引起的误报；最大支持16路（以公安部检测报告为准）</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32B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61B2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60D6C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25"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73E6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DF8F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网络硬盘录像机2</w:t>
            </w:r>
          </w:p>
        </w:tc>
        <w:tc>
          <w:tcPr>
            <w:tcW w:w="31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353C0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2U机架式9盘位嵌入式网络硬盘录像机，整机采用短机箱设计，搭载高性能ATX电源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【硬件规格】</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存储接口：9个SATA接口，可满配20TB硬盘；视频接口：2×HDMI，2×VGA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网络接口：2×RJ45 10/100/1000Mbps自适应以太网口；报警接口：16路报警输入，9路报警输出（其中第9路支持CTRL 12V）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反向供电：1路DC12V 1A；串行接口：1路RS-232接口，1路全双工RS-485接口；USB接口：2×USB 2.0，2×USB 3.0；扩展接口：1×eSATA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【产品性能】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输入带宽：320Mbps（开启RAID后为200Mbps）；输出带宽：256Mbps（开启RAID后为200Mbps）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接入能力：32路H.264、H.265格式高清码流接入；解码能力：最大支持32×1080P</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显示能力：最大支持8K+1080P、2×4K异源输出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RAID模式：RAID0、RAID1、RAID5、RAID6、RAID10，支持全局热备盘，RAID与智能应用互斥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【智能应用】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整机搭载高性能AI处理器，搭配智能相机，支持全路数以文搜图应用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一、以文搜图应用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内置图文搜索引擎，支持开放式语义检索，输入文字描述即可查找人、车、非机动车及附属物等目标；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支持搜索结果按相似度排序展示，根据搜索结果，可一键关联录像片段及以图搜图；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以文搜图能力：32路；以图搜图能力：32路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二、目标识别应用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目标识别：支持目标抓拍、比对报警；支持以图搜图、按姓名检索、按属性检索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目标名单库：支持16个名单库，总库容5万张；目标抓拍：4路视频流（2MP）</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目标比对：16路图片流要与学校保卫处现有的监控平台无缝对接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出厂默认以文搜图应用，以文搜图应用与目标识别应用可切换</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DD75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6320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4A546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5"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E2D3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6F7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24口网管交换机</w:t>
            </w:r>
          </w:p>
        </w:tc>
        <w:tc>
          <w:tcPr>
            <w:tcW w:w="31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15D53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1、交换容量≥670Gbps；转发性能≥126Mpp；</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2、配置≥24个10/100/1000 Base-T以太网端口，4个千兆SFP端口；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3、MAC地址规格≥16K，支持MAC地址自动学习和老化；</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4、支持4K个VLAN，支持1:1和N:1 VLAN Mapping功能；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5、支持静态路由、RIPv1/2、RIPng、OSPF、OSPFv3；</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6、支持纵向虚拟化，作为纵向子节点零配置即插即用；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7、支持智能堆叠，堆叠主机数≥9台；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8、防雷等级≥10KV；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9、设备采用静音设计，无风扇自然散热。</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1343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1849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48462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167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B017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8口网管接入交换机</w:t>
            </w:r>
          </w:p>
        </w:tc>
        <w:tc>
          <w:tcPr>
            <w:tcW w:w="31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628D9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1、交换容量≥670Gbps；转发性能≥102Mpp；</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2、配置≥8个10/100/1000 Base-T以太网端口，4个千兆SFP端口，支持POE/POE+，POE功率≥120W；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3、MAC地址规格≥8K，支持MAC地址自动学习和老化；</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4、支持4K个VLAN，支持1:1和N:1 VLAN Mapping功能；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5、支持静态路由、RIPv1/2、RIPng；</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6、支持纵向虚拟化，作为纵向子节点零配置即插即用；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7、支持智能堆叠，堆叠主机数≥9台；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8、防雷等级≥10KV；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9、设备采用静音设计，无风扇自然散热。</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2E8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1E93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5FC87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8B28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2AA6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24口光交换机</w:t>
            </w:r>
          </w:p>
        </w:tc>
        <w:tc>
          <w:tcPr>
            <w:tcW w:w="31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1679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1、交换容量≥670Gbps；转发性能≥171Mpps；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2、配置≥24个千兆SFP，≥8个复用10/100/1000BASE-T以太网端口Combo，≥4个万兆SFP+，≥2个专用堆叠口;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4、支持IPV6特性，支持IPV6 Ping、IPV6 Telnet；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5、支持静态路由、RIP V1/2、OSPF协议；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6、具备恢复出厂配置和复位设备的按钮；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7、支持G.8032以太环保护协议；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★★1、为提升网络骨干的安全性，确保技术自主可控、降低安全风险，所投交换机具备自主可控能力，产品的关键芯片（CPU 芯片）由产品制造商自研国产化芯片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提供第三方报告复印件并加盖原厂鲜章证明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★★2、为保障网络的运维使用及安全性，所投交换机支持CPCAR、攻击溯源、DAI、可信启动、数字签名等功能，提供第三方报告复印件并加盖原厂鲜章证明</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7F0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4BA1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24308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DF62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1D108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8T监控硬盘</w:t>
            </w:r>
          </w:p>
        </w:tc>
        <w:tc>
          <w:tcPr>
            <w:tcW w:w="31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CD589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8TB容量，3.5英寸，SATA3.0接口，7200RPM；AllFrame AI全帧技术，提升用户AI视频分析检索体验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空气盘， CMR传统磁记录；传输速率267 MB/s，流畅存储视频有效防止丢帧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高级格式（AF）512e扇区技术，保障硬盘扇区4K对齐；满足数据严苛的7*24小时运行可靠性、安全性的需求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支持5年有限质保服务；适用海拔高度范围-305m至3050m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标称容量：8TB；外形规格：3.5-inch；接口类型：SATA；刻录技术：CMR；转速：7200RPM；缓存：256MB；最大读取速度：267MB/s；接口传输速率（最大值）：6.0Gb/s；平均读写功率（W）：7.3W；加载/卸载周期：600,000；MTBF：2,000,000；年负荷（TB/年）：550TB；工作状态温度(°C)：0-65℃；尺寸：147mm(L)×101.6mm(W)×26.1mm(H)</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6271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6975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块</w:t>
            </w:r>
          </w:p>
        </w:tc>
      </w:tr>
      <w:tr w14:paraId="1D9FAE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207E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843" w:type="pct"/>
            <w:tcBorders>
              <w:top w:val="single" w:color="000000" w:sz="4" w:space="0"/>
              <w:left w:val="single" w:color="000000" w:sz="4" w:space="0"/>
              <w:bottom w:val="nil"/>
              <w:right w:val="single" w:color="000000" w:sz="4" w:space="0"/>
            </w:tcBorders>
            <w:shd w:val="clear" w:color="auto" w:fill="auto"/>
            <w:noWrap/>
            <w:vAlign w:val="center"/>
          </w:tcPr>
          <w:p w14:paraId="189DB14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监控电源</w:t>
            </w:r>
          </w:p>
        </w:tc>
        <w:tc>
          <w:tcPr>
            <w:tcW w:w="31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97F6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1、输入电压：AC220V±20%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2、输出电压：DC12V/2A</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5777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187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1C486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5C2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843" w:type="pct"/>
            <w:tcBorders>
              <w:top w:val="single" w:color="000000" w:sz="4" w:space="0"/>
              <w:left w:val="single" w:color="000000" w:sz="4" w:space="0"/>
              <w:bottom w:val="nil"/>
              <w:right w:val="single" w:color="000000" w:sz="4" w:space="0"/>
            </w:tcBorders>
            <w:shd w:val="clear" w:color="auto" w:fill="auto"/>
            <w:noWrap/>
            <w:vAlign w:val="center"/>
          </w:tcPr>
          <w:p w14:paraId="4054178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监控电源</w:t>
            </w:r>
          </w:p>
        </w:tc>
        <w:tc>
          <w:tcPr>
            <w:tcW w:w="31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36AB2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1、输出功率：240W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2、输入电压 :AC220V±20%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3、输出电压可调节：±5%±10%;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4、保护功能：过载.过压.短路.过温等</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644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2A3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19862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ECC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843" w:type="pct"/>
            <w:tcBorders>
              <w:top w:val="single" w:color="000000" w:sz="4" w:space="0"/>
              <w:left w:val="single" w:color="000000" w:sz="4" w:space="0"/>
              <w:bottom w:val="nil"/>
              <w:right w:val="single" w:color="000000" w:sz="4" w:space="0"/>
            </w:tcBorders>
            <w:shd w:val="clear" w:color="auto" w:fill="auto"/>
            <w:noWrap/>
            <w:vAlign w:val="center"/>
          </w:tcPr>
          <w:p w14:paraId="272CC9F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监控电源</w:t>
            </w:r>
          </w:p>
        </w:tc>
        <w:tc>
          <w:tcPr>
            <w:tcW w:w="31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4E7F0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1、输入电压：AC220V±20%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2、输出电压：AC24V3A</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275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C75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00C375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D599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843" w:type="pct"/>
            <w:tcBorders>
              <w:top w:val="single" w:color="000000" w:sz="4" w:space="0"/>
              <w:left w:val="single" w:color="000000" w:sz="4" w:space="0"/>
              <w:bottom w:val="nil"/>
              <w:right w:val="single" w:color="000000" w:sz="4" w:space="0"/>
            </w:tcBorders>
            <w:shd w:val="clear" w:color="auto" w:fill="auto"/>
            <w:noWrap/>
            <w:vAlign w:val="center"/>
          </w:tcPr>
          <w:p w14:paraId="28763C2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监控电源</w:t>
            </w:r>
          </w:p>
        </w:tc>
        <w:tc>
          <w:tcPr>
            <w:tcW w:w="31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2D914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A/C安 装方式：导轨式接线方式：上 进下出壳架额定电流：32A类  别：微型断路器分断能力：6  kA脱扣器类型：C操控方式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:手动脱扣器形式：热磁式</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C9B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946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679BE4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67BF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2FBA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六类网线</w:t>
            </w:r>
          </w:p>
        </w:tc>
        <w:tc>
          <w:tcPr>
            <w:tcW w:w="31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00B51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六类非屏蔽数字电缆传输带宽≥250MHz，满足1000兆数据传输，采用中心十字架结构；铜芯材料采用优质TR实芯裸铜导体,铜线直径≥0.57mm，满足线规23AWG；绝缘采用优质高密度聚乙烯（HDPE）厚度≥0.235mm，护套材料采用优质PVC料，厚度为0.6±0.05mm mm,；防火级别为CM，铜缆外径为￠6.3±0.1mm；工作温度范围：-20 至 75度。</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E24F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065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r>
      <w:tr w14:paraId="4B5D6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7E97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DAE0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4芯光缆</w:t>
            </w:r>
          </w:p>
        </w:tc>
        <w:tc>
          <w:tcPr>
            <w:tcW w:w="31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2C2C2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4芯,单模</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BBB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720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r>
      <w:tr w14:paraId="309FA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5768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3F5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接线板</w:t>
            </w:r>
          </w:p>
        </w:tc>
        <w:tc>
          <w:tcPr>
            <w:tcW w:w="31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DED7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8位总控全长1.8米</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EFD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2045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37BA9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511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28D6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枪机支架</w:t>
            </w:r>
          </w:p>
        </w:tc>
        <w:tc>
          <w:tcPr>
            <w:tcW w:w="31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54680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铁质，室内室外，75*65*260mm</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3442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A79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064EF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FE8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843" w:type="pct"/>
            <w:tcBorders>
              <w:top w:val="single" w:color="000000" w:sz="4" w:space="0"/>
              <w:left w:val="single" w:color="000000" w:sz="4" w:space="0"/>
              <w:bottom w:val="nil"/>
              <w:right w:val="single" w:color="000000" w:sz="4" w:space="0"/>
            </w:tcBorders>
            <w:shd w:val="clear" w:color="auto" w:fill="auto"/>
            <w:noWrap/>
            <w:vAlign w:val="center"/>
          </w:tcPr>
          <w:p w14:paraId="6DCD80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飘杆</w:t>
            </w:r>
          </w:p>
        </w:tc>
        <w:tc>
          <w:tcPr>
            <w:tcW w:w="31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4B5FC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铁质</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AD40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C363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r>
      <w:tr w14:paraId="5C67A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32C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843" w:type="pct"/>
            <w:tcBorders>
              <w:top w:val="single" w:color="000000" w:sz="4" w:space="0"/>
              <w:left w:val="single" w:color="000000" w:sz="4" w:space="0"/>
              <w:bottom w:val="nil"/>
              <w:right w:val="single" w:color="000000" w:sz="4" w:space="0"/>
            </w:tcBorders>
            <w:shd w:val="clear" w:color="auto" w:fill="auto"/>
            <w:noWrap/>
            <w:vAlign w:val="center"/>
          </w:tcPr>
          <w:p w14:paraId="2997CC5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飘杆</w:t>
            </w:r>
          </w:p>
        </w:tc>
        <w:tc>
          <w:tcPr>
            <w:tcW w:w="31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1DFD3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铁质</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644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4C4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r>
      <w:tr w14:paraId="4928B9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815C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E11A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4M立杆</w:t>
            </w:r>
          </w:p>
        </w:tc>
        <w:tc>
          <w:tcPr>
            <w:tcW w:w="31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7DB9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包含地笼、横臂、施工</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467C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3D9D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r>
      <w:tr w14:paraId="4E7BA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5CA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8C30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千兆光 模块</w:t>
            </w:r>
          </w:p>
        </w:tc>
        <w:tc>
          <w:tcPr>
            <w:tcW w:w="31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A786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国标</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52E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B58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7CC18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E648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1AF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室外防水熔纤包</w:t>
            </w:r>
          </w:p>
        </w:tc>
        <w:tc>
          <w:tcPr>
            <w:tcW w:w="31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2D21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2进2出卧式光纤接头盒，12芯</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4B07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015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76DBCB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62D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2BF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防水箱</w:t>
            </w:r>
          </w:p>
        </w:tc>
        <w:tc>
          <w:tcPr>
            <w:tcW w:w="31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EF3C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不锈钢</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C1D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C11C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7F2A5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DDE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AB4A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抱箍</w:t>
            </w:r>
          </w:p>
        </w:tc>
        <w:tc>
          <w:tcPr>
            <w:tcW w:w="31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7321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304不锈钢200mm-300mm</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369D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6246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14:paraId="4853C8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EF2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9A1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电源线</w:t>
            </w:r>
          </w:p>
        </w:tc>
        <w:tc>
          <w:tcPr>
            <w:tcW w:w="31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B705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1.0末端电源线 RVV2*1.0</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4378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E9B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r>
      <w:tr w14:paraId="6FAD2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485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0CC6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电源线</w:t>
            </w:r>
          </w:p>
        </w:tc>
        <w:tc>
          <w:tcPr>
            <w:tcW w:w="31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1D1ED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1.5分支电源线 RVV2*1.5</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B535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D12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r>
      <w:tr w14:paraId="2545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9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3FA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A36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打印机</w:t>
            </w:r>
          </w:p>
        </w:tc>
        <w:tc>
          <w:tcPr>
            <w:tcW w:w="31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5BEC8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涵盖功能 打印/复印/扫描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最大处理幅面 A4</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耗材类型 鼓粉分离</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双面功能 自动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网络功能 支持无线/有线网络打印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移动打印 WiFi打印，APP打印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黑白打印速度 30ppm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打印分辨率 600×600dpi，300×300dpi(APP)</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首页打印时间 ＜8.5秒</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复印其它性能 身份证一键复印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扫描控制器 标准配置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介质重量 60-105g/㎡</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供纸盒容量 纸盒：250页，手动：1页</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输出容量 100页</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076B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ADB4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r>
      <w:tr w14:paraId="4540C2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0C8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9F58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办公椅</w:t>
            </w:r>
          </w:p>
        </w:tc>
        <w:tc>
          <w:tcPr>
            <w:tcW w:w="31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B099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CA0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5B2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把</w:t>
            </w:r>
          </w:p>
        </w:tc>
      </w:tr>
      <w:tr w14:paraId="4F3B8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9988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2766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其它</w:t>
            </w:r>
          </w:p>
        </w:tc>
        <w:tc>
          <w:tcPr>
            <w:tcW w:w="31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94E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安保楼北面停车棚处搭建一个标准车棚，用于停放维修升降车，并硬化地面</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9A9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2483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批</w:t>
            </w:r>
          </w:p>
        </w:tc>
      </w:tr>
    </w:tbl>
    <w:p w14:paraId="298FB144">
      <w:pPr>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cs="宋体"/>
          <w:b/>
          <w:bCs/>
          <w:spacing w:val="2"/>
          <w:sz w:val="24"/>
          <w:szCs w:val="24"/>
        </w:rPr>
      </w:pPr>
    </w:p>
    <w:p w14:paraId="0DBEE65C">
      <w:pPr>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cs="宋体"/>
          <w:b/>
          <w:bCs/>
          <w:spacing w:val="2"/>
          <w:sz w:val="24"/>
          <w:szCs w:val="24"/>
        </w:rPr>
      </w:pPr>
    </w:p>
    <w:p w14:paraId="7A9C9943">
      <w:pPr>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cs="宋体"/>
          <w:b/>
          <w:bCs/>
          <w:spacing w:val="2"/>
          <w:sz w:val="24"/>
          <w:szCs w:val="24"/>
        </w:rPr>
      </w:pPr>
    </w:p>
    <w:p w14:paraId="56CB1347">
      <w:pPr>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cs="宋体"/>
          <w:b/>
          <w:bCs/>
          <w:spacing w:val="2"/>
          <w:sz w:val="24"/>
          <w:szCs w:val="24"/>
        </w:rPr>
      </w:pPr>
    </w:p>
    <w:p w14:paraId="65870D11">
      <w:pPr>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cs="宋体"/>
          <w:b/>
          <w:bCs/>
          <w:spacing w:val="2"/>
          <w:sz w:val="24"/>
          <w:szCs w:val="24"/>
        </w:rPr>
      </w:pPr>
    </w:p>
    <w:p w14:paraId="61BBABDA">
      <w:pPr>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cs="宋体"/>
          <w:b/>
          <w:bCs/>
          <w:spacing w:val="2"/>
          <w:sz w:val="24"/>
          <w:szCs w:val="24"/>
        </w:rPr>
      </w:pPr>
    </w:p>
    <w:p w14:paraId="597A59B2">
      <w:pPr>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cs="宋体"/>
          <w:b/>
          <w:bCs/>
          <w:spacing w:val="2"/>
          <w:sz w:val="24"/>
          <w:szCs w:val="24"/>
        </w:rPr>
      </w:pPr>
    </w:p>
    <w:p w14:paraId="2CEAF1C9">
      <w:pPr>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cs="宋体"/>
          <w:b/>
          <w:bCs/>
          <w:spacing w:val="2"/>
          <w:sz w:val="24"/>
          <w:szCs w:val="24"/>
        </w:rPr>
      </w:pPr>
    </w:p>
    <w:p w14:paraId="3644ED54">
      <w:pPr>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cs="宋体"/>
          <w:b/>
          <w:bCs/>
          <w:spacing w:val="2"/>
          <w:sz w:val="24"/>
          <w:szCs w:val="24"/>
        </w:rPr>
      </w:pPr>
    </w:p>
    <w:p w14:paraId="5F823BAD">
      <w:pPr>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cs="宋体"/>
          <w:b/>
          <w:bCs/>
          <w:spacing w:val="2"/>
          <w:sz w:val="24"/>
          <w:szCs w:val="24"/>
        </w:rPr>
      </w:pPr>
    </w:p>
    <w:p w14:paraId="06A85DF7">
      <w:pPr>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cs="宋体"/>
          <w:b/>
          <w:bCs/>
          <w:spacing w:val="2"/>
          <w:sz w:val="24"/>
          <w:szCs w:val="24"/>
        </w:rPr>
      </w:pPr>
    </w:p>
    <w:p w14:paraId="20EC7DFD">
      <w:pPr>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cs="宋体"/>
          <w:b/>
          <w:bCs/>
          <w:spacing w:val="2"/>
          <w:sz w:val="24"/>
          <w:szCs w:val="24"/>
        </w:rPr>
      </w:pPr>
    </w:p>
    <w:p w14:paraId="1CFE1A0B">
      <w:pPr>
        <w:rPr>
          <w:rFonts w:hint="eastAsia" w:ascii="仿宋" w:hAnsi="仿宋" w:eastAsia="仿宋"/>
          <w:sz w:val="32"/>
          <w:szCs w:val="32"/>
        </w:rPr>
      </w:pPr>
      <w:r>
        <w:rPr>
          <w:rFonts w:hint="eastAsia" w:ascii="仿宋" w:hAnsi="仿宋" w:eastAsia="仿宋"/>
          <w:sz w:val="32"/>
          <w:szCs w:val="32"/>
        </w:rPr>
        <w:t>附件</w:t>
      </w:r>
      <w:r>
        <w:rPr>
          <w:rFonts w:hint="eastAsia" w:ascii="仿宋" w:hAnsi="仿宋" w:eastAsia="仿宋"/>
          <w:sz w:val="32"/>
          <w:szCs w:val="32"/>
          <w:lang w:val="en-US" w:eastAsia="zh-CN"/>
        </w:rPr>
        <w:t>2</w:t>
      </w:r>
      <w:r>
        <w:rPr>
          <w:rFonts w:hint="eastAsia" w:ascii="仿宋" w:hAnsi="仿宋" w:eastAsia="仿宋"/>
          <w:sz w:val="32"/>
          <w:szCs w:val="32"/>
        </w:rPr>
        <w:t>：</w:t>
      </w:r>
      <w:r>
        <w:rPr>
          <w:rFonts w:hint="eastAsia" w:ascii="仿宋" w:hAnsi="仿宋" w:eastAsia="仿宋" w:cs="仿宋"/>
          <w:b/>
          <w:bCs/>
          <w:sz w:val="32"/>
          <w:szCs w:val="32"/>
          <w:shd w:val="clear" w:color="auto" w:fill="FFFFFF"/>
        </w:rPr>
        <w:t>（递交材料格式）</w:t>
      </w:r>
    </w:p>
    <w:p w14:paraId="3163B51E">
      <w:pPr>
        <w:autoSpaceDE w:val="0"/>
        <w:autoSpaceDN w:val="0"/>
        <w:adjustRightInd w:val="0"/>
        <w:snapToGrid w:val="0"/>
        <w:spacing w:line="360" w:lineRule="auto"/>
        <w:jc w:val="left"/>
        <w:rPr>
          <w:rFonts w:hint="eastAsia" w:ascii="仿宋" w:hAnsi="仿宋" w:eastAsia="仿宋" w:cs="宋体"/>
          <w:snapToGrid w:val="0"/>
          <w:kern w:val="0"/>
          <w:sz w:val="32"/>
          <w:szCs w:val="32"/>
          <w:lang w:val="zh-CN"/>
        </w:rPr>
      </w:pPr>
    </w:p>
    <w:p w14:paraId="565C64A7">
      <w:pPr>
        <w:pStyle w:val="10"/>
        <w:widowControl/>
        <w:shd w:val="clear" w:color="auto" w:fill="FFFFFF"/>
        <w:spacing w:before="0" w:beforeAutospacing="0" w:after="0" w:afterAutospacing="0" w:line="800" w:lineRule="exact"/>
        <w:jc w:val="center"/>
        <w:textAlignment w:val="baseline"/>
        <w:rPr>
          <w:rFonts w:ascii="仿宋" w:hAnsi="仿宋" w:eastAsia="仿宋" w:cs="仿宋"/>
          <w:b/>
          <w:bCs/>
          <w:sz w:val="32"/>
          <w:szCs w:val="32"/>
        </w:rPr>
      </w:pPr>
      <w:r>
        <w:rPr>
          <w:rFonts w:hint="eastAsia" w:ascii="仿宋" w:hAnsi="仿宋" w:eastAsia="仿宋" w:cs="仿宋"/>
          <w:b/>
          <w:bCs/>
          <w:sz w:val="32"/>
          <w:szCs w:val="32"/>
        </w:rPr>
        <w:t>南昌大学×××采购项目</w:t>
      </w:r>
    </w:p>
    <w:p w14:paraId="59A6F8F9">
      <w:pPr>
        <w:spacing w:line="800" w:lineRule="exact"/>
        <w:jc w:val="center"/>
        <w:rPr>
          <w:rFonts w:ascii="仿宋" w:hAnsi="仿宋" w:eastAsia="仿宋" w:cs="仿宋"/>
          <w:b/>
          <w:bCs/>
          <w:kern w:val="0"/>
          <w:sz w:val="32"/>
          <w:szCs w:val="32"/>
        </w:rPr>
      </w:pPr>
      <w:r>
        <w:rPr>
          <w:rFonts w:hint="eastAsia" w:ascii="仿宋" w:hAnsi="仿宋" w:eastAsia="仿宋" w:cs="仿宋"/>
          <w:b/>
          <w:bCs/>
          <w:kern w:val="0"/>
          <w:sz w:val="32"/>
          <w:szCs w:val="32"/>
        </w:rPr>
        <w:t>采购需求</w:t>
      </w:r>
      <w:r>
        <w:rPr>
          <w:rFonts w:hint="eastAsia" w:ascii="仿宋" w:hAnsi="仿宋" w:eastAsia="仿宋" w:cs="仿宋"/>
          <w:b/>
          <w:bCs/>
          <w:kern w:val="0"/>
          <w:sz w:val="32"/>
          <w:szCs w:val="32"/>
          <w:lang w:eastAsia="zh-CN"/>
        </w:rPr>
        <w:t>征集意见反馈</w:t>
      </w:r>
      <w:r>
        <w:rPr>
          <w:rFonts w:hint="eastAsia" w:ascii="仿宋" w:hAnsi="仿宋" w:eastAsia="仿宋" w:cs="仿宋"/>
          <w:b/>
          <w:bCs/>
          <w:kern w:val="0"/>
          <w:sz w:val="32"/>
          <w:szCs w:val="32"/>
        </w:rPr>
        <w:t>材料</w:t>
      </w:r>
    </w:p>
    <w:p w14:paraId="2502BDE8">
      <w:pPr>
        <w:rPr>
          <w:rFonts w:ascii="仿宋" w:hAnsi="仿宋" w:eastAsia="仿宋" w:cs="仿宋"/>
          <w:sz w:val="32"/>
          <w:szCs w:val="32"/>
        </w:rPr>
      </w:pPr>
    </w:p>
    <w:p w14:paraId="430D2F69">
      <w:pPr>
        <w:rPr>
          <w:rFonts w:ascii="仿宋" w:hAnsi="仿宋" w:eastAsia="仿宋" w:cs="仿宋"/>
          <w:sz w:val="32"/>
          <w:szCs w:val="32"/>
        </w:rPr>
      </w:pPr>
    </w:p>
    <w:p w14:paraId="4C2A94D8">
      <w:pPr>
        <w:rPr>
          <w:rFonts w:ascii="仿宋" w:hAnsi="仿宋" w:eastAsia="仿宋" w:cs="仿宋"/>
          <w:sz w:val="32"/>
          <w:szCs w:val="32"/>
        </w:rPr>
      </w:pPr>
    </w:p>
    <w:p w14:paraId="6D462638">
      <w:pPr>
        <w:rPr>
          <w:rFonts w:ascii="仿宋" w:hAnsi="仿宋" w:eastAsia="仿宋" w:cs="仿宋"/>
          <w:sz w:val="32"/>
          <w:szCs w:val="32"/>
        </w:rPr>
      </w:pPr>
    </w:p>
    <w:p w14:paraId="0D79C66D">
      <w:pPr>
        <w:rPr>
          <w:rFonts w:ascii="仿宋" w:hAnsi="仿宋" w:eastAsia="仿宋" w:cs="仿宋"/>
          <w:sz w:val="32"/>
          <w:szCs w:val="32"/>
        </w:rPr>
      </w:pPr>
    </w:p>
    <w:p w14:paraId="78A24E71">
      <w:pPr>
        <w:rPr>
          <w:rFonts w:ascii="仿宋" w:hAnsi="仿宋" w:eastAsia="仿宋" w:cs="仿宋"/>
          <w:sz w:val="32"/>
          <w:szCs w:val="32"/>
        </w:rPr>
      </w:pPr>
    </w:p>
    <w:p w14:paraId="53165FEC">
      <w:pPr>
        <w:tabs>
          <w:tab w:val="left" w:pos="7055"/>
        </w:tabs>
        <w:jc w:val="left"/>
        <w:rPr>
          <w:rFonts w:ascii="仿宋" w:hAnsi="仿宋" w:eastAsia="仿宋" w:cs="仿宋"/>
          <w:sz w:val="32"/>
          <w:szCs w:val="32"/>
        </w:rPr>
      </w:pPr>
      <w:r>
        <w:rPr>
          <w:rFonts w:hint="eastAsia" w:ascii="仿宋" w:hAnsi="仿宋" w:eastAsia="仿宋" w:cs="仿宋"/>
          <w:sz w:val="32"/>
          <w:szCs w:val="32"/>
        </w:rPr>
        <w:tab/>
      </w:r>
    </w:p>
    <w:p w14:paraId="49796A7C">
      <w:pPr>
        <w:spacing w:line="800" w:lineRule="exact"/>
        <w:ind w:firstLine="643" w:firstLineChars="200"/>
        <w:jc w:val="left"/>
        <w:rPr>
          <w:rFonts w:hint="eastAsia" w:ascii="仿宋" w:hAnsi="仿宋" w:eastAsia="仿宋" w:cs="仿宋"/>
          <w:b/>
          <w:bCs/>
          <w:kern w:val="0"/>
          <w:sz w:val="32"/>
          <w:szCs w:val="32"/>
        </w:rPr>
      </w:pPr>
    </w:p>
    <w:p w14:paraId="598B9B1A">
      <w:pPr>
        <w:spacing w:line="800" w:lineRule="exact"/>
        <w:ind w:firstLine="643" w:firstLineChars="200"/>
        <w:jc w:val="left"/>
        <w:rPr>
          <w:rFonts w:ascii="仿宋" w:hAnsi="仿宋" w:eastAsia="仿宋" w:cs="仿宋"/>
          <w:b/>
          <w:bCs/>
          <w:kern w:val="0"/>
          <w:sz w:val="32"/>
          <w:szCs w:val="32"/>
        </w:rPr>
      </w:pPr>
      <w:r>
        <w:rPr>
          <w:rFonts w:hint="eastAsia" w:ascii="仿宋" w:hAnsi="仿宋" w:eastAsia="仿宋" w:cs="仿宋"/>
          <w:b/>
          <w:bCs/>
          <w:kern w:val="0"/>
          <w:sz w:val="32"/>
          <w:szCs w:val="32"/>
        </w:rPr>
        <w:t>公司名称（盖章）：</w:t>
      </w:r>
    </w:p>
    <w:p w14:paraId="2EDDFA13">
      <w:pPr>
        <w:spacing w:line="800" w:lineRule="exact"/>
        <w:ind w:firstLine="643" w:firstLineChars="200"/>
        <w:jc w:val="left"/>
        <w:rPr>
          <w:rFonts w:ascii="仿宋" w:hAnsi="仿宋" w:eastAsia="仿宋" w:cs="仿宋"/>
          <w:b/>
          <w:bCs/>
          <w:kern w:val="0"/>
          <w:sz w:val="32"/>
          <w:szCs w:val="32"/>
        </w:rPr>
      </w:pPr>
      <w:r>
        <w:rPr>
          <w:rFonts w:hint="eastAsia" w:ascii="仿宋" w:hAnsi="仿宋" w:eastAsia="仿宋" w:cs="仿宋"/>
          <w:b/>
          <w:bCs/>
          <w:kern w:val="0"/>
          <w:sz w:val="32"/>
          <w:szCs w:val="32"/>
        </w:rPr>
        <w:t>日期：   年  月  日</w:t>
      </w:r>
    </w:p>
    <w:p w14:paraId="3B0EFED5">
      <w:pPr>
        <w:spacing w:line="800" w:lineRule="exact"/>
        <w:jc w:val="center"/>
        <w:rPr>
          <w:rFonts w:ascii="仿宋" w:hAnsi="仿宋" w:eastAsia="仿宋" w:cs="仿宋"/>
          <w:b/>
          <w:bCs/>
          <w:kern w:val="0"/>
          <w:sz w:val="32"/>
          <w:szCs w:val="32"/>
        </w:rPr>
      </w:pPr>
    </w:p>
    <w:p w14:paraId="68C9CA24">
      <w:pPr>
        <w:spacing w:line="800" w:lineRule="exact"/>
        <w:jc w:val="center"/>
        <w:rPr>
          <w:rFonts w:ascii="仿宋" w:hAnsi="仿宋" w:eastAsia="仿宋" w:cs="仿宋"/>
          <w:b/>
          <w:bCs/>
          <w:kern w:val="0"/>
          <w:sz w:val="32"/>
          <w:szCs w:val="32"/>
        </w:rPr>
      </w:pPr>
    </w:p>
    <w:p w14:paraId="42A06250">
      <w:pPr>
        <w:pStyle w:val="6"/>
        <w:rPr>
          <w:rFonts w:ascii="仿宋" w:hAnsi="仿宋" w:eastAsia="仿宋" w:cs="仿宋"/>
          <w:b/>
          <w:bCs/>
          <w:kern w:val="0"/>
          <w:sz w:val="32"/>
          <w:szCs w:val="32"/>
        </w:rPr>
      </w:pPr>
    </w:p>
    <w:p w14:paraId="41A280E7">
      <w:pPr>
        <w:pStyle w:val="11"/>
        <w:ind w:firstLine="210"/>
        <w:rPr>
          <w:rFonts w:hint="eastAsia"/>
        </w:rPr>
      </w:pPr>
    </w:p>
    <w:p w14:paraId="1AD657B8">
      <w:pPr>
        <w:pStyle w:val="11"/>
        <w:ind w:firstLine="210"/>
        <w:rPr>
          <w:rFonts w:hint="eastAsia"/>
        </w:rPr>
      </w:pPr>
    </w:p>
    <w:p w14:paraId="4E931A6D">
      <w:pPr>
        <w:pStyle w:val="11"/>
        <w:ind w:firstLine="210"/>
      </w:pPr>
    </w:p>
    <w:p w14:paraId="57F741BA">
      <w:pPr>
        <w:pStyle w:val="12"/>
        <w:ind w:firstLine="640"/>
        <w:rPr>
          <w:rFonts w:ascii="仿宋" w:hAnsi="仿宋" w:eastAsia="仿宋"/>
          <w:sz w:val="32"/>
          <w:szCs w:val="32"/>
        </w:rPr>
      </w:pPr>
    </w:p>
    <w:p w14:paraId="31CF7A14">
      <w:pPr>
        <w:pStyle w:val="4"/>
        <w:ind w:firstLine="0" w:firstLineChars="0"/>
        <w:rPr>
          <w:rFonts w:ascii="仿宋" w:hAnsi="仿宋" w:eastAsia="仿宋" w:cs="仿宋"/>
          <w:b/>
          <w:bCs/>
          <w:kern w:val="0"/>
          <w:sz w:val="32"/>
          <w:szCs w:val="32"/>
        </w:rPr>
      </w:pPr>
      <w:r>
        <w:rPr>
          <w:rFonts w:ascii="仿宋" w:hAnsi="仿宋" w:eastAsia="仿宋" w:cs="仿宋"/>
          <w:b/>
          <w:bCs/>
          <w:sz w:val="32"/>
          <w:szCs w:val="32"/>
        </w:rPr>
        <w:t>一、采购产品的产业发展简况（</w:t>
      </w:r>
      <w:r>
        <w:rPr>
          <w:rFonts w:ascii="仿宋" w:hAnsi="仿宋" w:eastAsia="仿宋"/>
          <w:i/>
          <w:sz w:val="32"/>
          <w:szCs w:val="32"/>
        </w:rPr>
        <w:t>包括该类现有产品的技术水平、工艺水平、技术路线、兼容性、安全要求，以及未来发展趋势等</w:t>
      </w:r>
      <w:r>
        <w:rPr>
          <w:rFonts w:ascii="仿宋" w:hAnsi="仿宋" w:eastAsia="仿宋" w:cs="仿宋"/>
          <w:b/>
          <w:bCs/>
          <w:sz w:val="32"/>
          <w:szCs w:val="32"/>
        </w:rPr>
        <w:t>）</w:t>
      </w:r>
    </w:p>
    <w:p w14:paraId="3C3B62D0">
      <w:pPr>
        <w:pStyle w:val="4"/>
        <w:ind w:firstLine="0" w:firstLineChars="0"/>
        <w:rPr>
          <w:rFonts w:ascii="仿宋" w:hAnsi="仿宋" w:eastAsia="仿宋" w:cs="仿宋"/>
          <w:kern w:val="0"/>
          <w:sz w:val="32"/>
          <w:szCs w:val="32"/>
        </w:rPr>
      </w:pPr>
    </w:p>
    <w:p w14:paraId="03D7B5B2">
      <w:pPr>
        <w:pStyle w:val="4"/>
        <w:ind w:firstLine="0" w:firstLineChars="0"/>
        <w:rPr>
          <w:rFonts w:hint="eastAsia" w:ascii="仿宋" w:hAnsi="仿宋" w:eastAsia="仿宋" w:cs="仿宋"/>
          <w:b/>
          <w:kern w:val="0"/>
          <w:sz w:val="32"/>
          <w:szCs w:val="32"/>
        </w:rPr>
      </w:pPr>
      <w:r>
        <w:rPr>
          <w:rFonts w:ascii="仿宋" w:hAnsi="仿宋" w:eastAsia="仿宋" w:cs="仿宋"/>
          <w:b/>
          <w:kern w:val="0"/>
          <w:sz w:val="32"/>
          <w:szCs w:val="32"/>
        </w:rPr>
        <w:t>二、同类项目历史成交情况（服务类采购不填）</w:t>
      </w:r>
    </w:p>
    <w:tbl>
      <w:tblPr>
        <w:tblStyle w:val="13"/>
        <w:tblpPr w:leftFromText="180" w:rightFromText="180" w:vertAnchor="text" w:horzAnchor="page" w:tblpXSpec="center" w:tblpY="264"/>
        <w:tblOverlap w:val="never"/>
        <w:tblW w:w="8722" w:type="dxa"/>
        <w:jc w:val="center"/>
        <w:tblLayout w:type="fixed"/>
        <w:tblCellMar>
          <w:top w:w="0" w:type="dxa"/>
          <w:left w:w="108" w:type="dxa"/>
          <w:bottom w:w="0" w:type="dxa"/>
          <w:right w:w="108" w:type="dxa"/>
        </w:tblCellMar>
      </w:tblPr>
      <w:tblGrid>
        <w:gridCol w:w="528"/>
        <w:gridCol w:w="1931"/>
        <w:gridCol w:w="1205"/>
        <w:gridCol w:w="1727"/>
        <w:gridCol w:w="1535"/>
        <w:gridCol w:w="1796"/>
      </w:tblGrid>
      <w:tr w14:paraId="0FC5EB05">
        <w:tblPrEx>
          <w:tblCellMar>
            <w:top w:w="0" w:type="dxa"/>
            <w:left w:w="108" w:type="dxa"/>
            <w:bottom w:w="0" w:type="dxa"/>
            <w:right w:w="108" w:type="dxa"/>
          </w:tblCellMar>
        </w:tblPrEx>
        <w:trPr>
          <w:trHeight w:val="564"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8AC90">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序号</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25101">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设备名称</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C0EB3">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采购单位</w:t>
            </w:r>
          </w:p>
        </w:tc>
        <w:tc>
          <w:tcPr>
            <w:tcW w:w="1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6DF39">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货物品牌型号及技术参数</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10B0B">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成交单位</w:t>
            </w: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B0891">
            <w:pPr>
              <w:widowControl/>
              <w:jc w:val="center"/>
              <w:textAlignment w:val="center"/>
              <w:rPr>
                <w:rFonts w:ascii="仿宋" w:hAnsi="仿宋" w:eastAsia="仿宋" w:cs="仿宋"/>
                <w:b/>
                <w:bCs/>
                <w:color w:val="000000"/>
                <w:kern w:val="0"/>
                <w:sz w:val="32"/>
                <w:szCs w:val="32"/>
              </w:rPr>
            </w:pPr>
            <w:r>
              <w:rPr>
                <w:rFonts w:hint="eastAsia" w:ascii="仿宋" w:hAnsi="仿宋" w:eastAsia="仿宋" w:cs="仿宋"/>
                <w:b/>
                <w:bCs/>
                <w:color w:val="000000"/>
                <w:kern w:val="0"/>
                <w:sz w:val="32"/>
                <w:szCs w:val="32"/>
              </w:rPr>
              <w:t>成交公告网址</w:t>
            </w:r>
          </w:p>
        </w:tc>
      </w:tr>
      <w:tr w14:paraId="129032FC">
        <w:tblPrEx>
          <w:tblCellMar>
            <w:top w:w="0" w:type="dxa"/>
            <w:left w:w="108" w:type="dxa"/>
            <w:bottom w:w="0" w:type="dxa"/>
            <w:right w:w="108" w:type="dxa"/>
          </w:tblCellMar>
        </w:tblPrEx>
        <w:trPr>
          <w:trHeight w:val="758"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7B263">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1</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CFA98">
            <w:pPr>
              <w:widowControl/>
              <w:textAlignment w:val="center"/>
              <w:rPr>
                <w:rFonts w:ascii="仿宋" w:hAnsi="仿宋" w:eastAsia="仿宋" w:cs="仿宋"/>
                <w:color w:val="000000"/>
                <w:sz w:val="32"/>
                <w:szCs w:val="32"/>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FAD66">
            <w:pPr>
              <w:widowControl/>
              <w:jc w:val="center"/>
              <w:textAlignment w:val="center"/>
              <w:rPr>
                <w:rFonts w:ascii="仿宋" w:hAnsi="仿宋" w:eastAsia="仿宋" w:cs="仿宋"/>
                <w:color w:val="000000"/>
                <w:sz w:val="32"/>
                <w:szCs w:val="32"/>
              </w:rPr>
            </w:pPr>
          </w:p>
        </w:tc>
        <w:tc>
          <w:tcPr>
            <w:tcW w:w="1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5C4D5">
            <w:pPr>
              <w:widowControl/>
              <w:jc w:val="center"/>
              <w:textAlignment w:val="center"/>
              <w:rPr>
                <w:rFonts w:ascii="仿宋" w:hAnsi="仿宋" w:eastAsia="仿宋" w:cs="仿宋"/>
                <w:color w:val="000000"/>
                <w:sz w:val="32"/>
                <w:szCs w:val="32"/>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8E364">
            <w:pPr>
              <w:widowControl/>
              <w:jc w:val="center"/>
              <w:textAlignment w:val="center"/>
              <w:rPr>
                <w:rFonts w:ascii="仿宋" w:hAnsi="仿宋" w:eastAsia="仿宋" w:cs="仿宋"/>
                <w:color w:val="000000"/>
                <w:sz w:val="32"/>
                <w:szCs w:val="32"/>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3DCF7">
            <w:pPr>
              <w:widowControl/>
              <w:jc w:val="center"/>
              <w:textAlignment w:val="center"/>
              <w:rPr>
                <w:rFonts w:ascii="仿宋" w:hAnsi="仿宋" w:eastAsia="仿宋" w:cs="仿宋"/>
                <w:color w:val="000000"/>
                <w:kern w:val="0"/>
                <w:sz w:val="32"/>
                <w:szCs w:val="32"/>
              </w:rPr>
            </w:pPr>
          </w:p>
        </w:tc>
      </w:tr>
      <w:tr w14:paraId="29D063F4">
        <w:tblPrEx>
          <w:tblCellMar>
            <w:top w:w="0" w:type="dxa"/>
            <w:left w:w="108" w:type="dxa"/>
            <w:bottom w:w="0" w:type="dxa"/>
            <w:right w:w="108" w:type="dxa"/>
          </w:tblCellMar>
        </w:tblPrEx>
        <w:trPr>
          <w:trHeight w:val="783"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6ED6D">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2</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98420">
            <w:pPr>
              <w:widowControl/>
              <w:textAlignment w:val="center"/>
              <w:rPr>
                <w:rFonts w:ascii="仿宋" w:hAnsi="仿宋" w:eastAsia="仿宋" w:cs="仿宋"/>
                <w:color w:val="000000"/>
                <w:sz w:val="32"/>
                <w:szCs w:val="32"/>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F51D4">
            <w:pPr>
              <w:widowControl/>
              <w:jc w:val="center"/>
              <w:textAlignment w:val="center"/>
              <w:rPr>
                <w:rFonts w:ascii="仿宋" w:hAnsi="仿宋" w:eastAsia="仿宋" w:cs="仿宋"/>
                <w:color w:val="000000"/>
                <w:sz w:val="32"/>
                <w:szCs w:val="32"/>
              </w:rPr>
            </w:pPr>
          </w:p>
        </w:tc>
        <w:tc>
          <w:tcPr>
            <w:tcW w:w="1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F97DA">
            <w:pPr>
              <w:widowControl/>
              <w:jc w:val="center"/>
              <w:textAlignment w:val="center"/>
              <w:rPr>
                <w:rFonts w:ascii="仿宋" w:hAnsi="仿宋" w:eastAsia="仿宋" w:cs="仿宋"/>
                <w:color w:val="000000"/>
                <w:sz w:val="32"/>
                <w:szCs w:val="32"/>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7522F">
            <w:pPr>
              <w:widowControl/>
              <w:jc w:val="center"/>
              <w:textAlignment w:val="center"/>
              <w:rPr>
                <w:rFonts w:ascii="仿宋" w:hAnsi="仿宋" w:eastAsia="仿宋" w:cs="仿宋"/>
                <w:color w:val="000000"/>
                <w:sz w:val="32"/>
                <w:szCs w:val="32"/>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88F11">
            <w:pPr>
              <w:widowControl/>
              <w:jc w:val="center"/>
              <w:textAlignment w:val="center"/>
              <w:rPr>
                <w:rFonts w:ascii="仿宋" w:hAnsi="仿宋" w:eastAsia="仿宋" w:cs="仿宋"/>
                <w:color w:val="000000"/>
                <w:kern w:val="0"/>
                <w:sz w:val="32"/>
                <w:szCs w:val="32"/>
              </w:rPr>
            </w:pPr>
          </w:p>
        </w:tc>
      </w:tr>
      <w:tr w14:paraId="7B9B5B4C">
        <w:tblPrEx>
          <w:tblCellMar>
            <w:top w:w="0" w:type="dxa"/>
            <w:left w:w="108" w:type="dxa"/>
            <w:bottom w:w="0" w:type="dxa"/>
            <w:right w:w="108" w:type="dxa"/>
          </w:tblCellMar>
        </w:tblPrEx>
        <w:trPr>
          <w:trHeight w:val="696"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F68CA">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3</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D6F48">
            <w:pPr>
              <w:widowControl/>
              <w:textAlignment w:val="center"/>
              <w:rPr>
                <w:rFonts w:ascii="仿宋" w:hAnsi="仿宋" w:eastAsia="仿宋" w:cs="仿宋"/>
                <w:color w:val="000000"/>
                <w:sz w:val="32"/>
                <w:szCs w:val="32"/>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0CA91">
            <w:pPr>
              <w:widowControl/>
              <w:jc w:val="center"/>
              <w:textAlignment w:val="center"/>
              <w:rPr>
                <w:rFonts w:ascii="仿宋" w:hAnsi="仿宋" w:eastAsia="仿宋" w:cs="仿宋"/>
                <w:color w:val="000000"/>
                <w:sz w:val="32"/>
                <w:szCs w:val="32"/>
              </w:rPr>
            </w:pPr>
          </w:p>
        </w:tc>
        <w:tc>
          <w:tcPr>
            <w:tcW w:w="1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16702">
            <w:pPr>
              <w:widowControl/>
              <w:jc w:val="center"/>
              <w:textAlignment w:val="center"/>
              <w:rPr>
                <w:rFonts w:ascii="仿宋" w:hAnsi="仿宋" w:eastAsia="仿宋" w:cs="仿宋"/>
                <w:color w:val="000000"/>
                <w:sz w:val="32"/>
                <w:szCs w:val="32"/>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7A648">
            <w:pPr>
              <w:widowControl/>
              <w:jc w:val="center"/>
              <w:textAlignment w:val="center"/>
              <w:rPr>
                <w:rFonts w:ascii="仿宋" w:hAnsi="仿宋" w:eastAsia="仿宋" w:cs="仿宋"/>
                <w:color w:val="000000"/>
                <w:sz w:val="32"/>
                <w:szCs w:val="32"/>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010C1">
            <w:pPr>
              <w:widowControl/>
              <w:jc w:val="center"/>
              <w:textAlignment w:val="center"/>
              <w:rPr>
                <w:rFonts w:ascii="仿宋" w:hAnsi="仿宋" w:eastAsia="仿宋" w:cs="仿宋"/>
                <w:color w:val="000000"/>
                <w:kern w:val="0"/>
                <w:sz w:val="32"/>
                <w:szCs w:val="32"/>
              </w:rPr>
            </w:pPr>
          </w:p>
        </w:tc>
      </w:tr>
    </w:tbl>
    <w:p w14:paraId="1F60498A">
      <w:pPr>
        <w:pStyle w:val="4"/>
        <w:ind w:firstLine="0" w:firstLineChars="0"/>
        <w:rPr>
          <w:rFonts w:ascii="仿宋" w:hAnsi="仿宋" w:eastAsia="仿宋" w:cs="仿宋"/>
          <w:kern w:val="0"/>
          <w:sz w:val="32"/>
          <w:szCs w:val="32"/>
        </w:rPr>
      </w:pPr>
    </w:p>
    <w:p w14:paraId="1861EE6F">
      <w:pPr>
        <w:rPr>
          <w:rFonts w:ascii="仿宋" w:hAnsi="仿宋" w:eastAsia="仿宋"/>
          <w:b/>
          <w:sz w:val="32"/>
          <w:szCs w:val="32"/>
        </w:rPr>
      </w:pPr>
      <w:r>
        <w:rPr>
          <w:rFonts w:ascii="仿宋" w:hAnsi="仿宋" w:eastAsia="仿宋" w:cs="仿宋"/>
          <w:kern w:val="0"/>
          <w:sz w:val="32"/>
          <w:szCs w:val="32"/>
        </w:rPr>
        <w:t>三、</w:t>
      </w:r>
      <w:r>
        <w:rPr>
          <w:rFonts w:hint="eastAsia" w:ascii="仿宋" w:hAnsi="仿宋" w:eastAsia="仿宋"/>
          <w:b/>
          <w:sz w:val="32"/>
          <w:szCs w:val="32"/>
        </w:rPr>
        <w:t>对本项目</w:t>
      </w:r>
      <w:r>
        <w:rPr>
          <w:rFonts w:hint="eastAsia" w:ascii="仿宋" w:hAnsi="仿宋" w:eastAsia="仿宋"/>
          <w:b/>
          <w:sz w:val="32"/>
          <w:szCs w:val="32"/>
          <w:lang w:eastAsia="zh-CN"/>
        </w:rPr>
        <w:t>采购</w:t>
      </w:r>
      <w:r>
        <w:rPr>
          <w:rFonts w:hint="eastAsia" w:ascii="仿宋" w:hAnsi="仿宋" w:eastAsia="仿宋"/>
          <w:b/>
          <w:sz w:val="32"/>
          <w:szCs w:val="32"/>
        </w:rPr>
        <w:t>需求的完整性、</w:t>
      </w:r>
      <w:r>
        <w:rPr>
          <w:rFonts w:hint="eastAsia" w:ascii="仿宋" w:hAnsi="仿宋" w:eastAsia="仿宋"/>
          <w:b/>
          <w:sz w:val="32"/>
          <w:szCs w:val="32"/>
          <w:lang w:eastAsia="zh-CN"/>
        </w:rPr>
        <w:t>明确性、科学性、</w:t>
      </w:r>
      <w:r>
        <w:rPr>
          <w:rFonts w:hint="eastAsia" w:ascii="仿宋" w:hAnsi="仿宋" w:eastAsia="仿宋"/>
          <w:b/>
          <w:sz w:val="32"/>
          <w:szCs w:val="32"/>
        </w:rPr>
        <w:t>合理性、提出具体意见建议。</w:t>
      </w:r>
    </w:p>
    <w:p w14:paraId="0911E83F">
      <w:pPr>
        <w:ind w:firstLine="643" w:firstLineChars="200"/>
        <w:rPr>
          <w:rFonts w:hint="eastAsia" w:ascii="仿宋" w:hAnsi="仿宋" w:eastAsia="仿宋"/>
          <w:b/>
          <w:sz w:val="32"/>
          <w:szCs w:val="32"/>
        </w:rPr>
      </w:pPr>
    </w:p>
    <w:p w14:paraId="3BB288D1">
      <w:pPr>
        <w:ind w:firstLine="643" w:firstLineChars="200"/>
        <w:rPr>
          <w:rFonts w:hint="eastAsia" w:ascii="仿宋" w:hAnsi="仿宋" w:eastAsia="仿宋"/>
          <w:b/>
          <w:sz w:val="32"/>
          <w:szCs w:val="32"/>
        </w:rPr>
      </w:pPr>
    </w:p>
    <w:p w14:paraId="1DC24B49">
      <w:pPr>
        <w:rPr>
          <w:rFonts w:ascii="仿宋" w:hAnsi="仿宋" w:eastAsia="仿宋"/>
          <w:b/>
          <w:sz w:val="32"/>
          <w:szCs w:val="32"/>
        </w:rPr>
      </w:pPr>
      <w:r>
        <w:rPr>
          <w:rFonts w:hint="eastAsia" w:ascii="仿宋" w:hAnsi="仿宋" w:eastAsia="仿宋"/>
          <w:b/>
          <w:sz w:val="32"/>
          <w:szCs w:val="32"/>
        </w:rPr>
        <w:t>四、针对本项目</w:t>
      </w:r>
      <w:r>
        <w:rPr>
          <w:rFonts w:hint="eastAsia" w:ascii="仿宋" w:hAnsi="仿宋" w:eastAsia="仿宋"/>
          <w:b/>
          <w:sz w:val="32"/>
          <w:szCs w:val="32"/>
          <w:lang w:eastAsia="zh-CN"/>
        </w:rPr>
        <w:t>预算</w:t>
      </w:r>
      <w:r>
        <w:rPr>
          <w:rFonts w:hint="eastAsia" w:ascii="仿宋" w:hAnsi="仿宋" w:eastAsia="仿宋"/>
          <w:b/>
          <w:sz w:val="32"/>
          <w:szCs w:val="32"/>
        </w:rPr>
        <w:t>提出</w:t>
      </w:r>
      <w:r>
        <w:rPr>
          <w:rFonts w:hint="eastAsia" w:ascii="仿宋" w:hAnsi="仿宋" w:eastAsia="仿宋"/>
          <w:b/>
          <w:sz w:val="32"/>
          <w:szCs w:val="32"/>
          <w:lang w:eastAsia="zh-CN"/>
        </w:rPr>
        <w:t>的建议（总价或分项报价）</w:t>
      </w:r>
    </w:p>
    <w:tbl>
      <w:tblPr>
        <w:tblStyle w:val="14"/>
        <w:tblW w:w="8046"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3369"/>
        <w:gridCol w:w="2409"/>
        <w:gridCol w:w="2268"/>
      </w:tblGrid>
      <w:tr w14:paraId="389A95E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369" w:type="dxa"/>
          </w:tcPr>
          <w:p w14:paraId="2CB1C17D">
            <w:pPr>
              <w:pStyle w:val="4"/>
              <w:ind w:firstLine="0" w:firstLineChars="0"/>
              <w:rPr>
                <w:rFonts w:ascii="仿宋" w:hAnsi="仿宋" w:eastAsia="仿宋" w:cs="仿宋"/>
                <w:kern w:val="0"/>
                <w:sz w:val="32"/>
                <w:szCs w:val="32"/>
              </w:rPr>
            </w:pPr>
            <w:r>
              <w:rPr>
                <w:rFonts w:ascii="仿宋" w:hAnsi="仿宋" w:eastAsia="仿宋" w:cs="仿宋"/>
                <w:kern w:val="0"/>
                <w:sz w:val="32"/>
                <w:szCs w:val="32"/>
              </w:rPr>
              <w:t>货物</w:t>
            </w:r>
            <w:r>
              <w:rPr>
                <w:rFonts w:hint="eastAsia" w:ascii="仿宋" w:hAnsi="仿宋" w:eastAsia="仿宋" w:cs="仿宋"/>
                <w:kern w:val="0"/>
                <w:sz w:val="32"/>
                <w:szCs w:val="32"/>
              </w:rPr>
              <w:t>/服务名称</w:t>
            </w:r>
          </w:p>
        </w:tc>
        <w:tc>
          <w:tcPr>
            <w:tcW w:w="2409" w:type="dxa"/>
          </w:tcPr>
          <w:p w14:paraId="19F6629B">
            <w:pPr>
              <w:pStyle w:val="4"/>
              <w:ind w:firstLine="0" w:firstLineChars="0"/>
              <w:rPr>
                <w:rFonts w:ascii="仿宋" w:hAnsi="仿宋" w:eastAsia="仿宋" w:cs="仿宋"/>
                <w:kern w:val="0"/>
                <w:sz w:val="32"/>
                <w:szCs w:val="32"/>
              </w:rPr>
            </w:pPr>
            <w:r>
              <w:rPr>
                <w:rFonts w:hint="eastAsia" w:ascii="仿宋" w:hAnsi="仿宋" w:eastAsia="仿宋" w:cs="仿宋"/>
                <w:kern w:val="0"/>
                <w:sz w:val="32"/>
                <w:szCs w:val="32"/>
                <w:lang w:eastAsia="zh-CN"/>
              </w:rPr>
              <w:t>价格</w:t>
            </w:r>
            <w:r>
              <w:rPr>
                <w:rFonts w:ascii="仿宋" w:hAnsi="仿宋" w:eastAsia="仿宋" w:cs="仿宋"/>
                <w:kern w:val="0"/>
                <w:sz w:val="32"/>
                <w:szCs w:val="32"/>
              </w:rPr>
              <w:t>（单位：元）</w:t>
            </w:r>
          </w:p>
        </w:tc>
        <w:tc>
          <w:tcPr>
            <w:tcW w:w="2268" w:type="dxa"/>
          </w:tcPr>
          <w:p w14:paraId="1AA85563">
            <w:pPr>
              <w:pStyle w:val="4"/>
              <w:ind w:firstLine="0" w:firstLineChars="0"/>
              <w:rPr>
                <w:rFonts w:ascii="仿宋" w:hAnsi="仿宋" w:eastAsia="仿宋" w:cs="仿宋"/>
                <w:kern w:val="0"/>
                <w:sz w:val="32"/>
                <w:szCs w:val="32"/>
              </w:rPr>
            </w:pPr>
            <w:r>
              <w:rPr>
                <w:rFonts w:ascii="仿宋" w:hAnsi="仿宋" w:eastAsia="仿宋" w:cs="仿宋"/>
                <w:kern w:val="0"/>
                <w:sz w:val="32"/>
                <w:szCs w:val="32"/>
              </w:rPr>
              <w:t>备注</w:t>
            </w:r>
          </w:p>
        </w:tc>
      </w:tr>
      <w:tr w14:paraId="54BB456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369" w:type="dxa"/>
          </w:tcPr>
          <w:p w14:paraId="431F9136">
            <w:pPr>
              <w:pStyle w:val="4"/>
              <w:ind w:firstLine="0" w:firstLineChars="0"/>
              <w:rPr>
                <w:rFonts w:ascii="仿宋" w:hAnsi="仿宋" w:eastAsia="仿宋" w:cs="仿宋"/>
                <w:kern w:val="0"/>
                <w:sz w:val="32"/>
                <w:szCs w:val="32"/>
              </w:rPr>
            </w:pPr>
          </w:p>
        </w:tc>
        <w:tc>
          <w:tcPr>
            <w:tcW w:w="2409" w:type="dxa"/>
          </w:tcPr>
          <w:p w14:paraId="3C3E6773">
            <w:pPr>
              <w:pStyle w:val="4"/>
              <w:ind w:firstLine="0" w:firstLineChars="0"/>
              <w:rPr>
                <w:rFonts w:ascii="仿宋" w:hAnsi="仿宋" w:eastAsia="仿宋" w:cs="仿宋"/>
                <w:kern w:val="0"/>
                <w:sz w:val="32"/>
                <w:szCs w:val="32"/>
              </w:rPr>
            </w:pPr>
          </w:p>
        </w:tc>
        <w:tc>
          <w:tcPr>
            <w:tcW w:w="2268" w:type="dxa"/>
          </w:tcPr>
          <w:p w14:paraId="7440068A">
            <w:pPr>
              <w:pStyle w:val="4"/>
              <w:ind w:firstLine="0" w:firstLineChars="0"/>
              <w:rPr>
                <w:rFonts w:ascii="仿宋" w:hAnsi="仿宋" w:eastAsia="仿宋" w:cs="仿宋"/>
                <w:kern w:val="0"/>
                <w:sz w:val="32"/>
                <w:szCs w:val="32"/>
              </w:rPr>
            </w:pPr>
          </w:p>
        </w:tc>
      </w:tr>
      <w:tr w14:paraId="17A1242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369" w:type="dxa"/>
          </w:tcPr>
          <w:p w14:paraId="4E2AC8D8">
            <w:pPr>
              <w:pStyle w:val="4"/>
              <w:ind w:firstLine="0" w:firstLineChars="0"/>
              <w:rPr>
                <w:rFonts w:ascii="仿宋" w:hAnsi="仿宋" w:eastAsia="仿宋" w:cs="仿宋"/>
                <w:kern w:val="0"/>
                <w:sz w:val="32"/>
                <w:szCs w:val="32"/>
              </w:rPr>
            </w:pPr>
          </w:p>
        </w:tc>
        <w:tc>
          <w:tcPr>
            <w:tcW w:w="2409" w:type="dxa"/>
          </w:tcPr>
          <w:p w14:paraId="5FA0E5A3">
            <w:pPr>
              <w:pStyle w:val="4"/>
              <w:ind w:firstLine="0" w:firstLineChars="0"/>
              <w:rPr>
                <w:rFonts w:ascii="仿宋" w:hAnsi="仿宋" w:eastAsia="仿宋" w:cs="仿宋"/>
                <w:kern w:val="0"/>
                <w:sz w:val="32"/>
                <w:szCs w:val="32"/>
              </w:rPr>
            </w:pPr>
          </w:p>
        </w:tc>
        <w:tc>
          <w:tcPr>
            <w:tcW w:w="2268" w:type="dxa"/>
          </w:tcPr>
          <w:p w14:paraId="460C6D2D">
            <w:pPr>
              <w:pStyle w:val="4"/>
              <w:ind w:firstLine="0" w:firstLineChars="0"/>
              <w:rPr>
                <w:rFonts w:ascii="仿宋" w:hAnsi="仿宋" w:eastAsia="仿宋" w:cs="仿宋"/>
                <w:kern w:val="0"/>
                <w:sz w:val="32"/>
                <w:szCs w:val="32"/>
              </w:rPr>
            </w:pPr>
          </w:p>
        </w:tc>
      </w:tr>
    </w:tbl>
    <w:p w14:paraId="336D1190">
      <w:pPr>
        <w:pStyle w:val="4"/>
        <w:ind w:firstLine="0" w:firstLineChars="0"/>
        <w:jc w:val="center"/>
        <w:rPr>
          <w:rFonts w:ascii="仿宋" w:hAnsi="仿宋" w:eastAsia="仿宋" w:cs="仿宋"/>
          <w:b/>
          <w:bCs/>
          <w:sz w:val="32"/>
          <w:szCs w:val="32"/>
        </w:rPr>
      </w:pPr>
    </w:p>
    <w:p w14:paraId="52907CF1">
      <w:pPr>
        <w:pStyle w:val="4"/>
        <w:ind w:firstLine="0" w:firstLineChars="0"/>
        <w:rPr>
          <w:rFonts w:ascii="仿宋" w:hAnsi="仿宋" w:eastAsia="仿宋" w:cstheme="minorBidi"/>
          <w:b/>
          <w:sz w:val="32"/>
          <w:szCs w:val="32"/>
        </w:rPr>
      </w:pPr>
      <w:r>
        <w:rPr>
          <w:rFonts w:hint="eastAsia" w:ascii="仿宋" w:hAnsi="仿宋" w:eastAsia="仿宋" w:cstheme="minorBidi"/>
          <w:b/>
          <w:sz w:val="32"/>
          <w:szCs w:val="32"/>
        </w:rPr>
        <w:t>五、企业营业执照</w:t>
      </w:r>
    </w:p>
    <w:p w14:paraId="076D528C">
      <w:pPr>
        <w:pStyle w:val="4"/>
        <w:ind w:firstLine="0" w:firstLineChars="0"/>
        <w:rPr>
          <w:rFonts w:ascii="仿宋" w:hAnsi="仿宋" w:eastAsia="仿宋" w:cs="仿宋"/>
          <w:kern w:val="0"/>
          <w:sz w:val="32"/>
          <w:szCs w:val="32"/>
        </w:rPr>
      </w:pPr>
      <w:r>
        <w:rPr>
          <w:rFonts w:hint="eastAsia" w:ascii="仿宋" w:hAnsi="仿宋" w:eastAsia="仿宋" w:cs="仿宋"/>
          <w:kern w:val="0"/>
          <w:sz w:val="32"/>
          <w:szCs w:val="32"/>
        </w:rPr>
        <w:t>致：南昌大学</w:t>
      </w:r>
    </w:p>
    <w:p w14:paraId="6325B0B2">
      <w:pPr>
        <w:widowControl/>
        <w:spacing w:after="150" w:line="420" w:lineRule="exact"/>
        <w:ind w:firstLine="420"/>
        <w:jc w:val="left"/>
        <w:rPr>
          <w:rFonts w:ascii="仿宋" w:hAnsi="仿宋" w:eastAsia="仿宋" w:cs="仿宋"/>
          <w:kern w:val="0"/>
          <w:sz w:val="32"/>
          <w:szCs w:val="32"/>
        </w:rPr>
      </w:pPr>
      <w:r>
        <w:rPr>
          <w:rFonts w:hint="eastAsia" w:ascii="仿宋" w:hAnsi="仿宋" w:eastAsia="仿宋" w:cs="仿宋"/>
          <w:kern w:val="0"/>
          <w:sz w:val="32"/>
          <w:szCs w:val="32"/>
        </w:rPr>
        <w:t xml:space="preserve"> 根据</w:t>
      </w:r>
      <w:r>
        <w:rPr>
          <w:rFonts w:hint="eastAsia" w:ascii="仿宋" w:hAnsi="仿宋" w:eastAsia="仿宋" w:cs="仿宋"/>
          <w:bCs/>
          <w:sz w:val="32"/>
          <w:szCs w:val="32"/>
        </w:rPr>
        <w:t>×××采购项目</w:t>
      </w:r>
      <w:r>
        <w:rPr>
          <w:rFonts w:hint="eastAsia" w:ascii="仿宋" w:hAnsi="仿宋" w:eastAsia="仿宋" w:cs="仿宋"/>
          <w:kern w:val="0"/>
          <w:sz w:val="32"/>
          <w:szCs w:val="32"/>
        </w:rPr>
        <w:t>采购需求调查征求内容，我公司现按需求内容提交企业营业执照及相关调查材料一套。</w:t>
      </w:r>
    </w:p>
    <w:p w14:paraId="6BA4D268">
      <w:pPr>
        <w:widowControl/>
        <w:spacing w:after="150"/>
        <w:ind w:firstLine="420"/>
        <w:jc w:val="left"/>
        <w:rPr>
          <w:rFonts w:ascii="仿宋" w:hAnsi="仿宋" w:eastAsia="仿宋" w:cs="仿宋"/>
          <w:kern w:val="0"/>
          <w:sz w:val="32"/>
          <w:szCs w:val="32"/>
        </w:rPr>
      </w:pPr>
    </w:p>
    <w:p w14:paraId="66D586A0">
      <w:pPr>
        <w:widowControl/>
        <w:spacing w:after="150"/>
        <w:ind w:firstLine="420"/>
        <w:jc w:val="left"/>
        <w:rPr>
          <w:rFonts w:ascii="仿宋" w:hAnsi="仿宋" w:eastAsia="仿宋" w:cs="仿宋"/>
          <w:kern w:val="0"/>
          <w:sz w:val="32"/>
          <w:szCs w:val="32"/>
        </w:rPr>
      </w:pPr>
      <w:r>
        <w:rPr>
          <w:rFonts w:hint="eastAsia" w:ascii="仿宋" w:hAnsi="仿宋" w:eastAsia="仿宋" w:cs="仿宋"/>
          <w:kern w:val="0"/>
          <w:sz w:val="32"/>
          <w:szCs w:val="32"/>
        </w:rPr>
        <w:t>公司通信地址：</w:t>
      </w:r>
      <w:r>
        <w:rPr>
          <w:rFonts w:hint="eastAsia" w:ascii="仿宋" w:hAnsi="仿宋" w:eastAsia="仿宋" w:cs="仿宋"/>
          <w:kern w:val="0"/>
          <w:sz w:val="32"/>
          <w:szCs w:val="32"/>
          <w:u w:val="single"/>
        </w:rPr>
        <w:t>               </w:t>
      </w:r>
      <w:r>
        <w:rPr>
          <w:rFonts w:hint="eastAsia" w:ascii="仿宋" w:hAnsi="仿宋" w:eastAsia="仿宋" w:cs="仿宋"/>
          <w:kern w:val="0"/>
          <w:sz w:val="32"/>
          <w:szCs w:val="32"/>
        </w:rPr>
        <w:t xml:space="preserve">  邮编：</w:t>
      </w:r>
      <w:r>
        <w:rPr>
          <w:rFonts w:hint="eastAsia" w:ascii="仿宋" w:hAnsi="仿宋" w:eastAsia="仿宋" w:cs="仿宋"/>
          <w:kern w:val="0"/>
          <w:sz w:val="32"/>
          <w:szCs w:val="32"/>
          <w:u w:val="single"/>
        </w:rPr>
        <w:t>     </w:t>
      </w:r>
    </w:p>
    <w:p w14:paraId="276DD627">
      <w:pPr>
        <w:widowControl/>
        <w:spacing w:after="150"/>
        <w:ind w:firstLine="420"/>
        <w:jc w:val="left"/>
        <w:rPr>
          <w:rFonts w:ascii="仿宋" w:hAnsi="仿宋" w:eastAsia="仿宋" w:cs="仿宋"/>
          <w:kern w:val="0"/>
          <w:sz w:val="32"/>
          <w:szCs w:val="32"/>
        </w:rPr>
      </w:pPr>
      <w:r>
        <w:rPr>
          <w:rFonts w:hint="eastAsia" w:ascii="仿宋" w:hAnsi="仿宋" w:eastAsia="仿宋" w:cs="仿宋"/>
          <w:kern w:val="0"/>
          <w:sz w:val="32"/>
          <w:szCs w:val="32"/>
        </w:rPr>
        <w:t>联系方法：</w:t>
      </w:r>
      <w:r>
        <w:rPr>
          <w:rFonts w:hint="eastAsia" w:ascii="仿宋" w:hAnsi="仿宋" w:eastAsia="仿宋" w:cs="仿宋"/>
          <w:kern w:val="0"/>
          <w:sz w:val="32"/>
          <w:szCs w:val="32"/>
          <w:u w:val="single"/>
        </w:rPr>
        <w:t>（包括但不限于：联系人、联系电话、手机、传真、电子邮箱等）</w:t>
      </w:r>
    </w:p>
    <w:p w14:paraId="424D2D47">
      <w:pPr>
        <w:widowControl/>
        <w:spacing w:after="150"/>
        <w:ind w:firstLine="420"/>
        <w:jc w:val="left"/>
        <w:rPr>
          <w:rFonts w:ascii="仿宋" w:hAnsi="仿宋" w:eastAsia="仿宋" w:cs="仿宋"/>
          <w:kern w:val="0"/>
          <w:sz w:val="32"/>
          <w:szCs w:val="32"/>
        </w:rPr>
      </w:pPr>
      <w:r>
        <w:rPr>
          <w:rFonts w:hint="eastAsia" w:ascii="仿宋" w:hAnsi="仿宋" w:eastAsia="仿宋" w:cs="仿宋"/>
          <w:kern w:val="0"/>
          <w:sz w:val="32"/>
          <w:szCs w:val="32"/>
        </w:rPr>
        <w:t> </w:t>
      </w:r>
    </w:p>
    <w:p w14:paraId="76D07A7A">
      <w:pPr>
        <w:widowControl/>
        <w:spacing w:after="150"/>
        <w:ind w:firstLine="420"/>
        <w:jc w:val="right"/>
        <w:rPr>
          <w:rFonts w:ascii="仿宋" w:hAnsi="仿宋" w:eastAsia="仿宋" w:cs="仿宋"/>
          <w:kern w:val="0"/>
          <w:sz w:val="32"/>
          <w:szCs w:val="32"/>
        </w:rPr>
      </w:pPr>
    </w:p>
    <w:p w14:paraId="0EABEBAC">
      <w:pPr>
        <w:widowControl/>
        <w:spacing w:after="150"/>
        <w:ind w:firstLine="420"/>
        <w:jc w:val="right"/>
        <w:rPr>
          <w:rFonts w:ascii="仿宋" w:hAnsi="仿宋" w:eastAsia="仿宋" w:cs="仿宋"/>
          <w:kern w:val="0"/>
          <w:sz w:val="32"/>
          <w:szCs w:val="32"/>
        </w:rPr>
      </w:pPr>
    </w:p>
    <w:p w14:paraId="0E8721C0">
      <w:pPr>
        <w:widowControl/>
        <w:spacing w:after="150"/>
        <w:ind w:firstLine="420"/>
        <w:jc w:val="right"/>
        <w:rPr>
          <w:rFonts w:ascii="仿宋" w:hAnsi="仿宋" w:eastAsia="仿宋" w:cs="仿宋"/>
          <w:kern w:val="0"/>
          <w:sz w:val="32"/>
          <w:szCs w:val="32"/>
        </w:rPr>
      </w:pPr>
      <w:r>
        <w:rPr>
          <w:rFonts w:hint="eastAsia" w:ascii="仿宋" w:hAnsi="仿宋" w:eastAsia="仿宋" w:cs="仿宋"/>
          <w:kern w:val="0"/>
          <w:sz w:val="32"/>
          <w:szCs w:val="32"/>
        </w:rPr>
        <w:t>公司名称：</w:t>
      </w:r>
      <w:r>
        <w:rPr>
          <w:rFonts w:hint="eastAsia" w:ascii="仿宋" w:hAnsi="仿宋" w:eastAsia="仿宋" w:cs="仿宋"/>
          <w:kern w:val="0"/>
          <w:sz w:val="32"/>
          <w:szCs w:val="32"/>
          <w:u w:val="single"/>
        </w:rPr>
        <w:t>（全称并加盖单位公章）</w:t>
      </w:r>
    </w:p>
    <w:p w14:paraId="14B8BA33">
      <w:pPr>
        <w:widowControl/>
        <w:spacing w:after="150"/>
        <w:ind w:firstLine="420"/>
        <w:jc w:val="center"/>
        <w:rPr>
          <w:rFonts w:ascii="仿宋" w:hAnsi="仿宋" w:eastAsia="仿宋" w:cs="仿宋"/>
          <w:kern w:val="0"/>
          <w:sz w:val="32"/>
          <w:szCs w:val="32"/>
        </w:rPr>
      </w:pPr>
      <w:r>
        <w:rPr>
          <w:rFonts w:hint="eastAsia" w:ascii="仿宋" w:hAnsi="仿宋" w:eastAsia="仿宋" w:cs="仿宋"/>
          <w:kern w:val="0"/>
          <w:sz w:val="32"/>
          <w:szCs w:val="32"/>
        </w:rPr>
        <w:t xml:space="preserve">                      日期：   年   月  日</w:t>
      </w:r>
    </w:p>
    <w:p w14:paraId="5F1076C8">
      <w:pPr>
        <w:pStyle w:val="4"/>
        <w:ind w:firstLine="0" w:firstLineChars="0"/>
        <w:rPr>
          <w:rFonts w:ascii="仿宋" w:hAnsi="仿宋" w:eastAsia="仿宋" w:cs="仿宋"/>
          <w:kern w:val="0"/>
          <w:sz w:val="32"/>
          <w:szCs w:val="32"/>
        </w:rPr>
      </w:pPr>
      <w:r>
        <w:rPr>
          <w:rFonts w:hint="eastAsia" w:ascii="仿宋" w:hAnsi="仿宋" w:eastAsia="仿宋" w:cs="仿宋"/>
          <w:b/>
          <w:bCs/>
          <w:kern w:val="0"/>
          <w:sz w:val="32"/>
          <w:szCs w:val="32"/>
        </w:rPr>
        <w:t> </w:t>
      </w:r>
    </w:p>
    <w:p w14:paraId="6AB9F142">
      <w:pPr>
        <w:pStyle w:val="4"/>
        <w:ind w:firstLine="0" w:firstLineChars="0"/>
        <w:rPr>
          <w:rFonts w:hint="eastAsia" w:ascii="仿宋" w:hAnsi="仿宋" w:eastAsia="仿宋" w:cs="仿宋"/>
          <w:b/>
          <w:bCs/>
          <w:sz w:val="32"/>
          <w:szCs w:val="32"/>
        </w:rPr>
      </w:pPr>
    </w:p>
    <w:p w14:paraId="4C4E3C50">
      <w:pPr>
        <w:pStyle w:val="4"/>
        <w:ind w:firstLine="0" w:firstLineChars="0"/>
        <w:rPr>
          <w:rFonts w:ascii="仿宋" w:hAnsi="仿宋" w:eastAsia="仿宋" w:cs="仿宋"/>
          <w:b/>
          <w:bCs/>
          <w:sz w:val="32"/>
          <w:szCs w:val="32"/>
        </w:rPr>
      </w:pPr>
      <w:r>
        <w:rPr>
          <w:rFonts w:hint="eastAsia" w:ascii="仿宋" w:hAnsi="仿宋" w:eastAsia="仿宋" w:cs="仿宋"/>
          <w:b/>
          <w:bCs/>
          <w:sz w:val="32"/>
          <w:szCs w:val="32"/>
        </w:rPr>
        <w:t>企业营业执照扫描件粘贴处</w:t>
      </w:r>
    </w:p>
    <w:tbl>
      <w:tblPr>
        <w:tblStyle w:val="14"/>
        <w:tblW w:w="852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14:paraId="2C64634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728" w:hRule="atLeast"/>
        </w:trPr>
        <w:tc>
          <w:tcPr>
            <w:tcW w:w="8522" w:type="dxa"/>
          </w:tcPr>
          <w:p w14:paraId="0F747295">
            <w:pPr>
              <w:pStyle w:val="4"/>
              <w:ind w:firstLine="0" w:firstLineChars="0"/>
              <w:rPr>
                <w:rFonts w:ascii="仿宋" w:hAnsi="仿宋" w:eastAsia="仿宋" w:cs="仿宋"/>
                <w:b/>
                <w:bCs/>
                <w:sz w:val="32"/>
                <w:szCs w:val="32"/>
              </w:rPr>
            </w:pPr>
          </w:p>
        </w:tc>
      </w:tr>
    </w:tbl>
    <w:p w14:paraId="320E4902">
      <w:pPr>
        <w:pStyle w:val="4"/>
        <w:ind w:firstLine="0" w:firstLineChars="0"/>
        <w:rPr>
          <w:rFonts w:ascii="仿宋" w:hAnsi="仿宋" w:eastAsia="仿宋" w:cs="仿宋"/>
          <w:b/>
          <w:bCs/>
          <w:sz w:val="32"/>
          <w:szCs w:val="32"/>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90EC31">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39EB66F">
                          <w:pPr>
                            <w:pStyle w:val="7"/>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ascii="仿宋" w:hAnsi="仿宋" w:eastAsia="仿宋" w:cs="仿宋"/>
                              <w:sz w:val="24"/>
                              <w:szCs w:val="24"/>
                            </w:rPr>
                            <w:t>7</w:t>
                          </w:r>
                          <w:r>
                            <w:rPr>
                              <w:rFonts w:hint="eastAsia" w:ascii="仿宋" w:hAnsi="仿宋" w:eastAsia="仿宋" w:cs="仿宋"/>
                              <w:sz w:val="24"/>
                              <w:szCs w:val="24"/>
                            </w:rPr>
                            <w:fldChar w:fldCharType="end"/>
                          </w:r>
                          <w:r>
                            <w:rPr>
                              <w:rFonts w:hint="eastAsia" w:ascii="仿宋" w:hAnsi="仿宋" w:eastAsia="仿宋" w:cs="仿宋"/>
                              <w:sz w:val="24"/>
                              <w:szCs w:val="24"/>
                            </w:rPr>
                            <w:t xml:space="preserve"> / </w:t>
                          </w:r>
                          <w:r>
                            <w:fldChar w:fldCharType="begin"/>
                          </w:r>
                          <w:r>
                            <w:instrText xml:space="preserve"> NUMPAGES  \* MERGEFORMAT </w:instrText>
                          </w:r>
                          <w:r>
                            <w:fldChar w:fldCharType="separate"/>
                          </w:r>
                          <w:r>
                            <w:rPr>
                              <w:rFonts w:ascii="仿宋" w:hAnsi="仿宋" w:eastAsia="仿宋" w:cs="仿宋"/>
                              <w:sz w:val="24"/>
                              <w:szCs w:val="24"/>
                            </w:rPr>
                            <w:t>8</w:t>
                          </w:r>
                          <w:r>
                            <w:rPr>
                              <w:rFonts w:ascii="仿宋" w:hAnsi="仿宋" w:eastAsia="仿宋" w:cs="仿宋"/>
                              <w:sz w:val="24"/>
                              <w:szCs w:val="24"/>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UOwzD8cBAACdAwAADgAAAAAAAAABACAAAAAeAQAAZHJzL2Uyb0RvYy54&#10;bWxQSwUGAAAAAAYABgBZAQAAVwUAAAAA&#10;">
              <v:fill on="f" focussize="0,0"/>
              <v:stroke on="f"/>
              <v:imagedata o:title=""/>
              <o:lock v:ext="edit" aspectratio="f"/>
              <v:textbox inset="0mm,0mm,0mm,0mm" style="mso-fit-shape-to-text:t;">
                <w:txbxContent>
                  <w:p w14:paraId="239EB66F">
                    <w:pPr>
                      <w:pStyle w:val="7"/>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ascii="仿宋" w:hAnsi="仿宋" w:eastAsia="仿宋" w:cs="仿宋"/>
                        <w:sz w:val="24"/>
                        <w:szCs w:val="24"/>
                      </w:rPr>
                      <w:t>7</w:t>
                    </w:r>
                    <w:r>
                      <w:rPr>
                        <w:rFonts w:hint="eastAsia" w:ascii="仿宋" w:hAnsi="仿宋" w:eastAsia="仿宋" w:cs="仿宋"/>
                        <w:sz w:val="24"/>
                        <w:szCs w:val="24"/>
                      </w:rPr>
                      <w:fldChar w:fldCharType="end"/>
                    </w:r>
                    <w:r>
                      <w:rPr>
                        <w:rFonts w:hint="eastAsia" w:ascii="仿宋" w:hAnsi="仿宋" w:eastAsia="仿宋" w:cs="仿宋"/>
                        <w:sz w:val="24"/>
                        <w:szCs w:val="24"/>
                      </w:rPr>
                      <w:t xml:space="preserve"> / </w:t>
                    </w:r>
                    <w:r>
                      <w:fldChar w:fldCharType="begin"/>
                    </w:r>
                    <w:r>
                      <w:instrText xml:space="preserve"> NUMPAGES  \* MERGEFORMAT </w:instrText>
                    </w:r>
                    <w:r>
                      <w:fldChar w:fldCharType="separate"/>
                    </w:r>
                    <w:r>
                      <w:rPr>
                        <w:rFonts w:ascii="仿宋" w:hAnsi="仿宋" w:eastAsia="仿宋" w:cs="仿宋"/>
                        <w:sz w:val="24"/>
                        <w:szCs w:val="24"/>
                      </w:rPr>
                      <w:t>8</w:t>
                    </w:r>
                    <w:r>
                      <w:rPr>
                        <w:rFonts w:ascii="仿宋" w:hAnsi="仿宋" w:eastAsia="仿宋" w:cs="仿宋"/>
                        <w:sz w:val="24"/>
                        <w:szCs w:val="24"/>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r>
        <w:separator/>
      </w:r>
    </w:p>
  </w:footnote>
  <w:footnote w:type="continuationSeparator" w:id="5">
    <w:p>
      <w:r>
        <w:continuationSeparator/>
      </w:r>
    </w:p>
  </w:footnote>
  <w:footnote w:id="0">
    <w:p w14:paraId="349181A3">
      <w:pPr>
        <w:pStyle w:val="9"/>
      </w:pPr>
      <w:r>
        <w:rPr>
          <w:rFonts w:hint="eastAsia"/>
        </w:rPr>
        <w:footnoteRef/>
      </w:r>
      <w:r>
        <w:rPr>
          <w:rFonts w:hint="eastAsia"/>
        </w:rPr>
        <w:t xml:space="preserve"> 维保所需设备及配件：设备主要用于替换原设备，</w:t>
      </w:r>
      <w:r>
        <w:rPr>
          <w:rFonts w:hint="eastAsia"/>
          <w:lang w:eastAsia="zh-CN"/>
        </w:rPr>
        <w:t>中标方</w:t>
      </w:r>
      <w:r>
        <w:rPr>
          <w:rFonts w:hint="eastAsia"/>
        </w:rPr>
        <w:t>提供的设备质量不低于原设备（技术和性能不低于原设备）。</w:t>
      </w:r>
    </w:p>
  </w:footnote>
  <w:footnote w:id="1">
    <w:p w14:paraId="2ED951C0">
      <w:pPr>
        <w:pStyle w:val="9"/>
        <w:rPr>
          <w:rFonts w:hint="default"/>
          <w:lang w:val="en-US"/>
        </w:rPr>
      </w:pPr>
      <w:r>
        <w:rPr>
          <w:rFonts w:hint="eastAsia"/>
        </w:rPr>
        <w:footnoteRef/>
      </w:r>
      <w:r>
        <w:rPr>
          <w:rFonts w:hint="eastAsia"/>
        </w:rPr>
        <w:t xml:space="preserve"> 全年服务设备是维保所需设备及配件，按</w:t>
      </w:r>
      <w:r>
        <w:rPr>
          <w:rFonts w:hint="eastAsia"/>
          <w:lang w:val="en-US" w:eastAsia="zh-CN"/>
        </w:rPr>
        <w:t>22</w:t>
      </w:r>
      <w:r>
        <w:rPr>
          <w:rFonts w:hint="eastAsia"/>
        </w:rPr>
        <w:t>万元/年计算，按实际替换的设备进行结算，维修所需设备超出</w:t>
      </w:r>
      <w:r>
        <w:rPr>
          <w:rFonts w:hint="eastAsia"/>
          <w:lang w:val="en-US" w:eastAsia="zh-CN"/>
        </w:rPr>
        <w:t>22</w:t>
      </w:r>
      <w:r>
        <w:rPr>
          <w:rFonts w:hint="eastAsia"/>
        </w:rPr>
        <w:t>万元由</w:t>
      </w:r>
      <w:r>
        <w:rPr>
          <w:rFonts w:hint="eastAsia"/>
          <w:lang w:val="en-US" w:eastAsia="zh-CN"/>
        </w:rPr>
        <w:t>中标方免费提供。</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4A719A"/>
    <w:multiLevelType w:val="singleLevel"/>
    <w:tmpl w:val="8D4A719A"/>
    <w:lvl w:ilvl="0" w:tentative="0">
      <w:start w:val="2"/>
      <w:numFmt w:val="decimal"/>
      <w:lvlText w:val="%1."/>
      <w:lvlJc w:val="left"/>
      <w:pPr>
        <w:tabs>
          <w:tab w:val="left" w:pos="312"/>
        </w:tabs>
      </w:pPr>
    </w:lvl>
  </w:abstractNum>
  <w:abstractNum w:abstractNumId="1">
    <w:nsid w:val="EAAA8FBD"/>
    <w:multiLevelType w:val="singleLevel"/>
    <w:tmpl w:val="EAAA8FBD"/>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footnotePr>
    <w:footnote w:id="4"/>
    <w:footnote w:id="5"/>
  </w:foot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mODUwY2NjMmEzYzg0NzExMDg2ODg3ZDA1MzBmZDYifQ=="/>
  </w:docVars>
  <w:rsids>
    <w:rsidRoot w:val="2B8D79DE"/>
    <w:rsid w:val="00030FE2"/>
    <w:rsid w:val="000A267E"/>
    <w:rsid w:val="000B6D36"/>
    <w:rsid w:val="001A548C"/>
    <w:rsid w:val="001F6F11"/>
    <w:rsid w:val="003264D6"/>
    <w:rsid w:val="00367EDA"/>
    <w:rsid w:val="003E3FB1"/>
    <w:rsid w:val="00441209"/>
    <w:rsid w:val="00476453"/>
    <w:rsid w:val="0048738E"/>
    <w:rsid w:val="004A790F"/>
    <w:rsid w:val="004E3BB2"/>
    <w:rsid w:val="00527718"/>
    <w:rsid w:val="005420E5"/>
    <w:rsid w:val="00556802"/>
    <w:rsid w:val="00595925"/>
    <w:rsid w:val="0063134A"/>
    <w:rsid w:val="00666DC4"/>
    <w:rsid w:val="006965A7"/>
    <w:rsid w:val="0072755E"/>
    <w:rsid w:val="00753FD6"/>
    <w:rsid w:val="007D676F"/>
    <w:rsid w:val="00864D85"/>
    <w:rsid w:val="00873F47"/>
    <w:rsid w:val="008762EC"/>
    <w:rsid w:val="008831A2"/>
    <w:rsid w:val="008D3587"/>
    <w:rsid w:val="00943570"/>
    <w:rsid w:val="009553F9"/>
    <w:rsid w:val="00A25B6E"/>
    <w:rsid w:val="00A3418C"/>
    <w:rsid w:val="00A348F8"/>
    <w:rsid w:val="00A72559"/>
    <w:rsid w:val="00AA2EA9"/>
    <w:rsid w:val="00B07818"/>
    <w:rsid w:val="00B54114"/>
    <w:rsid w:val="00B80393"/>
    <w:rsid w:val="00C418A6"/>
    <w:rsid w:val="00C42079"/>
    <w:rsid w:val="00C50F11"/>
    <w:rsid w:val="00C70B91"/>
    <w:rsid w:val="00D15067"/>
    <w:rsid w:val="00E14492"/>
    <w:rsid w:val="00F64F10"/>
    <w:rsid w:val="00FB364B"/>
    <w:rsid w:val="05980638"/>
    <w:rsid w:val="1122713D"/>
    <w:rsid w:val="13AA7707"/>
    <w:rsid w:val="14A27AD7"/>
    <w:rsid w:val="1B1C7B86"/>
    <w:rsid w:val="1C982F7B"/>
    <w:rsid w:val="1D385D84"/>
    <w:rsid w:val="1ECE4DDB"/>
    <w:rsid w:val="2002442B"/>
    <w:rsid w:val="2B8D79DE"/>
    <w:rsid w:val="32A77CC6"/>
    <w:rsid w:val="3915496F"/>
    <w:rsid w:val="3EF31FFC"/>
    <w:rsid w:val="45600782"/>
    <w:rsid w:val="486D0780"/>
    <w:rsid w:val="568417E6"/>
    <w:rsid w:val="5D38572C"/>
    <w:rsid w:val="5E204E88"/>
    <w:rsid w:val="6084002C"/>
    <w:rsid w:val="632B4016"/>
    <w:rsid w:val="6BF344D5"/>
    <w:rsid w:val="6C613AE6"/>
    <w:rsid w:val="70B1066E"/>
    <w:rsid w:val="77881944"/>
    <w:rsid w:val="7F364D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22"/>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5"/>
    <w:basedOn w:val="1"/>
    <w:next w:val="1"/>
    <w:link w:val="18"/>
    <w:qFormat/>
    <w:uiPriority w:val="1"/>
    <w:pPr>
      <w:autoSpaceDE w:val="0"/>
      <w:autoSpaceDN w:val="0"/>
      <w:ind w:left="312" w:hanging="207"/>
      <w:jc w:val="left"/>
      <w:outlineLvl w:val="4"/>
    </w:pPr>
    <w:rPr>
      <w:rFonts w:ascii="宋体" w:hAnsi="宋体" w:eastAsia="宋体" w:cs="宋体"/>
      <w:b/>
      <w:bCs/>
      <w:kern w:val="0"/>
      <w:sz w:val="19"/>
      <w:szCs w:val="19"/>
      <w:lang w:val="zh-CN" w:bidi="zh-CN"/>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rPr>
      <w:rFonts w:ascii="Calibri" w:hAnsi="Calibri" w:eastAsia="宋体" w:cs="Times New Roman"/>
    </w:rPr>
  </w:style>
  <w:style w:type="paragraph" w:styleId="5">
    <w:name w:val="Body Text"/>
    <w:basedOn w:val="1"/>
    <w:link w:val="19"/>
    <w:qFormat/>
    <w:uiPriority w:val="1"/>
    <w:pPr>
      <w:autoSpaceDE w:val="0"/>
      <w:autoSpaceDN w:val="0"/>
      <w:spacing w:line="360" w:lineRule="auto"/>
      <w:ind w:firstLine="240" w:firstLineChars="100"/>
      <w:jc w:val="left"/>
    </w:pPr>
    <w:rPr>
      <w:rFonts w:ascii="仿宋" w:hAnsi="仿宋" w:eastAsia="仿宋" w:cs="宋体"/>
      <w:kern w:val="0"/>
      <w:sz w:val="24"/>
      <w:lang w:bidi="zh-CN"/>
    </w:rPr>
  </w:style>
  <w:style w:type="paragraph" w:styleId="6">
    <w:name w:val="Body Text Indent"/>
    <w:basedOn w:val="1"/>
    <w:link w:val="24"/>
    <w:qFormat/>
    <w:uiPriority w:val="0"/>
    <w:pPr>
      <w:spacing w:after="120"/>
      <w:ind w:left="420" w:leftChars="200"/>
    </w:pPr>
    <w:rPr>
      <w:rFonts w:ascii="Calibri" w:hAnsi="Calibri" w:eastAsia="宋体" w:cs="Times New Roman"/>
    </w:rPr>
  </w:style>
  <w:style w:type="paragraph" w:styleId="7">
    <w:name w:val="footer"/>
    <w:basedOn w:val="1"/>
    <w:link w:val="21"/>
    <w:qFormat/>
    <w:uiPriority w:val="99"/>
    <w:pPr>
      <w:tabs>
        <w:tab w:val="center" w:pos="4153"/>
        <w:tab w:val="right" w:pos="8306"/>
      </w:tabs>
      <w:snapToGrid w:val="0"/>
      <w:jc w:val="left"/>
    </w:pPr>
    <w:rPr>
      <w:sz w:val="18"/>
      <w:szCs w:val="18"/>
    </w:rPr>
  </w:style>
  <w:style w:type="paragraph" w:styleId="8">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9">
    <w:name w:val="footnote text"/>
    <w:basedOn w:val="1"/>
    <w:unhideWhenUsed/>
    <w:qFormat/>
    <w:uiPriority w:val="99"/>
    <w:pPr>
      <w:snapToGrid w:val="0"/>
      <w:jc w:val="left"/>
    </w:pPr>
    <w:rPr>
      <w:sz w:val="18"/>
    </w:rPr>
  </w:style>
  <w:style w:type="paragraph" w:styleId="10">
    <w:name w:val="Normal (Web)"/>
    <w:basedOn w:val="1"/>
    <w:qFormat/>
    <w:uiPriority w:val="0"/>
    <w:pPr>
      <w:spacing w:before="100" w:beforeAutospacing="1" w:after="100" w:afterAutospacing="1"/>
      <w:jc w:val="left"/>
    </w:pPr>
    <w:rPr>
      <w:rFonts w:ascii="Calibri" w:hAnsi="Calibri" w:eastAsia="宋体" w:cs="Times New Roman"/>
      <w:kern w:val="0"/>
      <w:sz w:val="24"/>
    </w:rPr>
  </w:style>
  <w:style w:type="paragraph" w:styleId="11">
    <w:name w:val="Body Text First Indent"/>
    <w:basedOn w:val="5"/>
    <w:link w:val="23"/>
    <w:qFormat/>
    <w:uiPriority w:val="0"/>
    <w:pPr>
      <w:autoSpaceDE/>
      <w:autoSpaceDN/>
      <w:spacing w:after="120" w:line="240" w:lineRule="auto"/>
      <w:ind w:firstLine="420"/>
      <w:jc w:val="both"/>
    </w:pPr>
    <w:rPr>
      <w:rFonts w:asciiTheme="minorHAnsi" w:hAnsiTheme="minorHAnsi" w:eastAsiaTheme="minorEastAsia" w:cstheme="minorBidi"/>
      <w:kern w:val="2"/>
      <w:sz w:val="21"/>
      <w:lang w:bidi="ar-SA"/>
    </w:rPr>
  </w:style>
  <w:style w:type="paragraph" w:styleId="12">
    <w:name w:val="Body Text First Indent 2"/>
    <w:basedOn w:val="6"/>
    <w:link w:val="25"/>
    <w:qFormat/>
    <w:uiPriority w:val="0"/>
    <w:pPr>
      <w:ind w:firstLine="420" w:firstLineChars="200"/>
    </w:pPr>
  </w:style>
  <w:style w:type="table" w:styleId="14">
    <w:name w:val="Table Grid"/>
    <w:basedOn w:val="13"/>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6">
    <w:name w:val="Hyperlink"/>
    <w:unhideWhenUsed/>
    <w:qFormat/>
    <w:uiPriority w:val="99"/>
    <w:rPr>
      <w:color w:val="0563C1"/>
      <w:u w:val="single"/>
    </w:rPr>
  </w:style>
  <w:style w:type="character" w:styleId="17">
    <w:name w:val="footnote reference"/>
    <w:basedOn w:val="15"/>
    <w:unhideWhenUsed/>
    <w:qFormat/>
    <w:uiPriority w:val="99"/>
    <w:rPr>
      <w:vertAlign w:val="superscript"/>
    </w:rPr>
  </w:style>
  <w:style w:type="character" w:customStyle="1" w:styleId="18">
    <w:name w:val="标题 5 Char"/>
    <w:basedOn w:val="15"/>
    <w:link w:val="3"/>
    <w:qFormat/>
    <w:uiPriority w:val="1"/>
    <w:rPr>
      <w:rFonts w:ascii="宋体" w:hAnsi="宋体" w:eastAsia="宋体" w:cs="宋体"/>
      <w:b/>
      <w:bCs/>
      <w:sz w:val="19"/>
      <w:szCs w:val="19"/>
      <w:lang w:val="zh-CN" w:bidi="zh-CN"/>
    </w:rPr>
  </w:style>
  <w:style w:type="character" w:customStyle="1" w:styleId="19">
    <w:name w:val="正文文本 Char"/>
    <w:basedOn w:val="15"/>
    <w:link w:val="5"/>
    <w:qFormat/>
    <w:uiPriority w:val="1"/>
    <w:rPr>
      <w:rFonts w:ascii="仿宋" w:hAnsi="仿宋" w:eastAsia="仿宋" w:cs="宋体"/>
      <w:sz w:val="24"/>
      <w:szCs w:val="24"/>
      <w:lang w:bidi="zh-CN"/>
    </w:rPr>
  </w:style>
  <w:style w:type="character" w:customStyle="1" w:styleId="20">
    <w:name w:val="页眉 Char"/>
    <w:basedOn w:val="15"/>
    <w:link w:val="8"/>
    <w:qFormat/>
    <w:uiPriority w:val="0"/>
    <w:rPr>
      <w:kern w:val="2"/>
      <w:sz w:val="18"/>
      <w:szCs w:val="18"/>
    </w:rPr>
  </w:style>
  <w:style w:type="character" w:customStyle="1" w:styleId="21">
    <w:name w:val="页脚 Char"/>
    <w:basedOn w:val="15"/>
    <w:link w:val="7"/>
    <w:qFormat/>
    <w:uiPriority w:val="0"/>
    <w:rPr>
      <w:kern w:val="2"/>
      <w:sz w:val="18"/>
      <w:szCs w:val="18"/>
    </w:rPr>
  </w:style>
  <w:style w:type="character" w:customStyle="1" w:styleId="22">
    <w:name w:val="标题 2 Char"/>
    <w:basedOn w:val="15"/>
    <w:link w:val="2"/>
    <w:semiHidden/>
    <w:qFormat/>
    <w:uiPriority w:val="0"/>
    <w:rPr>
      <w:rFonts w:asciiTheme="majorHAnsi" w:hAnsiTheme="majorHAnsi" w:eastAsiaTheme="majorEastAsia" w:cstheme="majorBidi"/>
      <w:b/>
      <w:bCs/>
      <w:kern w:val="2"/>
      <w:sz w:val="32"/>
      <w:szCs w:val="32"/>
    </w:rPr>
  </w:style>
  <w:style w:type="character" w:customStyle="1" w:styleId="23">
    <w:name w:val="正文首行缩进 Char"/>
    <w:basedOn w:val="19"/>
    <w:link w:val="11"/>
    <w:qFormat/>
    <w:uiPriority w:val="0"/>
    <w:rPr>
      <w:kern w:val="2"/>
      <w:sz w:val="21"/>
      <w:szCs w:val="24"/>
    </w:rPr>
  </w:style>
  <w:style w:type="character" w:customStyle="1" w:styleId="24">
    <w:name w:val="正文文本缩进 Char"/>
    <w:basedOn w:val="15"/>
    <w:link w:val="6"/>
    <w:qFormat/>
    <w:uiPriority w:val="0"/>
    <w:rPr>
      <w:rFonts w:ascii="Calibri" w:hAnsi="Calibri" w:eastAsia="宋体" w:cs="Times New Roman"/>
      <w:kern w:val="2"/>
      <w:sz w:val="21"/>
      <w:szCs w:val="24"/>
    </w:rPr>
  </w:style>
  <w:style w:type="character" w:customStyle="1" w:styleId="25">
    <w:name w:val="正文首行缩进 2 Char"/>
    <w:basedOn w:val="24"/>
    <w:link w:val="12"/>
    <w:qFormat/>
    <w:uiPriority w:val="0"/>
  </w:style>
  <w:style w:type="paragraph" w:customStyle="1" w:styleId="26">
    <w:name w:val="缺省文本"/>
    <w:basedOn w:val="1"/>
    <w:qFormat/>
    <w:uiPriority w:val="0"/>
    <w:pPr>
      <w:autoSpaceDE w:val="0"/>
      <w:autoSpaceDN w:val="0"/>
      <w:adjustRightInd w:val="0"/>
      <w:spacing w:before="20" w:after="20" w:line="400" w:lineRule="exact"/>
      <w:ind w:firstLine="504"/>
      <w:jc w:val="left"/>
    </w:pPr>
    <w:rPr>
      <w:kern w:val="0"/>
      <w:sz w:val="24"/>
    </w:rPr>
  </w:style>
  <w:style w:type="character" w:customStyle="1" w:styleId="27">
    <w:name w:val="font51"/>
    <w:basedOn w:val="15"/>
    <w:qFormat/>
    <w:uiPriority w:val="0"/>
    <w:rPr>
      <w:rFonts w:hint="eastAsia" w:ascii="宋体" w:hAnsi="宋体" w:eastAsia="宋体" w:cs="宋体"/>
      <w:color w:val="000000"/>
      <w:sz w:val="22"/>
      <w:szCs w:val="22"/>
      <w:u w:val="none"/>
    </w:rPr>
  </w:style>
  <w:style w:type="character" w:customStyle="1" w:styleId="28">
    <w:name w:val="font81"/>
    <w:basedOn w:val="15"/>
    <w:qFormat/>
    <w:uiPriority w:val="0"/>
    <w:rPr>
      <w:rFonts w:hint="default" w:ascii="Times New Roman" w:hAnsi="Times New Roman" w:cs="Times New Roman"/>
      <w:color w:val="000000"/>
      <w:sz w:val="22"/>
      <w:szCs w:val="22"/>
      <w:u w:val="none"/>
    </w:rPr>
  </w:style>
  <w:style w:type="paragraph" w:customStyle="1" w:styleId="29">
    <w:name w:val="Table Paragraph"/>
    <w:basedOn w:val="1"/>
    <w:qFormat/>
    <w:uiPriority w:val="1"/>
    <w:pPr>
      <w:widowControl/>
      <w:kinsoku w:val="0"/>
      <w:autoSpaceDE w:val="0"/>
      <w:autoSpaceDN w:val="0"/>
      <w:adjustRightInd w:val="0"/>
      <w:snapToGrid w:val="0"/>
      <w:spacing w:line="440" w:lineRule="exact"/>
      <w:jc w:val="center"/>
      <w:textAlignment w:val="baseline"/>
    </w:pPr>
    <w:rPr>
      <w:rFonts w:ascii="宋体" w:hAnsi="宋体" w:eastAsia="Arial" w:cs="宋体"/>
      <w:snapToGrid w:val="0"/>
      <w:color w:val="000000"/>
      <w:kern w:val="0"/>
      <w:sz w:val="22"/>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46</Pages>
  <Words>3172</Words>
  <Characters>3263</Characters>
  <Lines>12</Lines>
  <Paragraphs>3</Paragraphs>
  <TotalTime>17</TotalTime>
  <ScaleCrop>false</ScaleCrop>
  <LinksUpToDate>false</LinksUpToDate>
  <CharactersWithSpaces>3280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2024-09-19T01:15:00Z</dcterms:created>
  <dc:creator>廖艺齐</dc:creator>
  <cp:lastModifiedBy>涂海宁</cp:lastModifiedBy>
  <dcterms:modified xsi:type="dcterms:W3CDTF">2025-07-10T08:30:37Z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21C267ACB34D41F0B8CC7A39E3E66D78_13</vt:lpwstr>
  </property>
  <property fmtid="{D5CDD505-2E9C-101B-9397-08002B2CF9AE}" pid="4" name="KSOTemplateDocerSaveRecord">
    <vt:lpwstr>eyJoZGlkIjoiOGM2ZGIzNTFhMjVkNWY0YjVlYzU2MTZkYTQxMGNmN2MiLCJ1c2VySWQiOiIxNjcyNzY4OTA1In0=</vt:lpwstr>
  </property>
</Properties>
</file>